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611142FA" w:rsidR="0051672D" w:rsidRPr="00883277" w:rsidRDefault="005A613B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“Iedzīvotāju apsekojums par atpūtas un darījumu braucieniem” (1-C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2837403A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</w:t>
      </w:r>
      <w:r w:rsidRPr="005A613B">
        <w:t>elikuma 1.</w:t>
      </w:r>
      <w:r w:rsidR="00981005" w:rsidRPr="005A613B">
        <w:t> </w:t>
      </w:r>
      <w:r w:rsidRPr="005A613B">
        <w:t xml:space="preserve">punktā (Nacionālo kontu sistēma) un </w:t>
      </w:r>
      <w:r w:rsidR="005A613B" w:rsidRPr="005A613B">
        <w:rPr>
          <w:szCs w:val="20"/>
        </w:rPr>
        <w:t>25. punktā (Tūrisma statistika)</w:t>
      </w:r>
      <w:r w:rsidRPr="005A613B">
        <w:t>.</w:t>
      </w:r>
    </w:p>
    <w:p w14:paraId="2D2DF8E3" w14:textId="1762515A" w:rsidR="005A613B" w:rsidRDefault="00FD6B37" w:rsidP="005A613B">
      <w:pPr>
        <w:rPr>
          <w:rFonts w:cs="Times New Roman"/>
        </w:rPr>
      </w:pPr>
      <w:r>
        <w:rPr>
          <w:rFonts w:cs="Times New Roman"/>
          <w:bCs/>
          <w:color w:val="000000"/>
        </w:rPr>
        <w:t>Ikviena</w:t>
      </w:r>
      <w:r w:rsidR="005A613B">
        <w:rPr>
          <w:rFonts w:cs="Times New Roman"/>
          <w:bCs/>
          <w:color w:val="000000"/>
        </w:rPr>
        <w:t xml:space="preserve"> atbilde sniedz būtisku </w:t>
      </w:r>
      <w:r w:rsidR="005A613B">
        <w:rPr>
          <w:rFonts w:cs="Times New Roman"/>
        </w:rPr>
        <w:t>informāciju par Latvijas iedzīvotāju dalību vietējā un izejošā tūrisma braucienos, galvenajiem braucienu iemesliem, galamērķiem, izmantotā transporta un naktsmītnes veidu, to rezervēšanu, ceļazīmju iegādi un izdevumiem.</w:t>
      </w:r>
    </w:p>
    <w:p w14:paraId="57B1DE53" w14:textId="77777777" w:rsidR="005A613B" w:rsidRDefault="005A613B" w:rsidP="005A613B">
      <w:bookmarkStart w:id="2" w:name="_Hlk215039339"/>
      <w:r>
        <w:t>Kopsavilkuma datus izmanto Latvijas valsts institūcijas, starptautiskās organizācijas un citi datu lietotāji:</w:t>
      </w:r>
    </w:p>
    <w:p w14:paraId="5DAB0964" w14:textId="77777777" w:rsidR="005A613B" w:rsidRDefault="005A613B" w:rsidP="005A613B">
      <w:pPr>
        <w:pStyle w:val="NoSpacing"/>
        <w:rPr>
          <w:rFonts w:cs="Times New Roman"/>
        </w:rPr>
      </w:pPr>
      <w:r>
        <w:t>tūrisma valsts politikas plānošanai un izstrādei;</w:t>
      </w:r>
    </w:p>
    <w:p w14:paraId="0594291C" w14:textId="77777777" w:rsidR="005A613B" w:rsidRDefault="005A613B" w:rsidP="005A613B">
      <w:pPr>
        <w:pStyle w:val="NoSpacing"/>
        <w:rPr>
          <w:rFonts w:cs="Times New Roman"/>
        </w:rPr>
      </w:pPr>
      <w:r>
        <w:rPr>
          <w:rFonts w:cs="Times New Roman"/>
        </w:rPr>
        <w:t xml:space="preserve">iekšzemes kopprodukta no izlietojuma aspekta Mājsaimniecību </w:t>
      </w:r>
      <w:proofErr w:type="spellStart"/>
      <w:r>
        <w:rPr>
          <w:rFonts w:cs="Times New Roman"/>
        </w:rPr>
        <w:t>galapatēriņa</w:t>
      </w:r>
      <w:proofErr w:type="spellEnd"/>
      <w:r>
        <w:rPr>
          <w:rFonts w:cs="Times New Roman"/>
        </w:rPr>
        <w:t xml:space="preserve"> novērtējumam;</w:t>
      </w:r>
    </w:p>
    <w:p w14:paraId="1FF9BA3E" w14:textId="77777777" w:rsidR="005A613B" w:rsidRDefault="005A613B" w:rsidP="005A613B">
      <w:pPr>
        <w:pStyle w:val="NoSpacing"/>
        <w:rPr>
          <w:rFonts w:cs="Times New Roman"/>
        </w:rPr>
      </w:pPr>
      <w:r>
        <w:t>Patēriņa cenu indeksa Latvijā aprēķināšanai;</w:t>
      </w:r>
    </w:p>
    <w:p w14:paraId="4A6A904C" w14:textId="77777777" w:rsidR="005A613B" w:rsidRDefault="005A613B" w:rsidP="005A613B">
      <w:pPr>
        <w:pStyle w:val="NoSpacing"/>
        <w:rPr>
          <w:rFonts w:ascii="Helv" w:hAnsi="Helv" w:cs="Helv"/>
        </w:rPr>
      </w:pPr>
      <w:r>
        <w:rPr>
          <w:rFonts w:cs="Times New Roman"/>
        </w:rPr>
        <w:t xml:space="preserve">rezidentu izdevumu aprēķināšanai ārvalstu darījumu braucienos, kas netiek rēķināts kā mājsaimniecību </w:t>
      </w:r>
      <w:proofErr w:type="spellStart"/>
      <w:r>
        <w:rPr>
          <w:rFonts w:cs="Times New Roman"/>
        </w:rPr>
        <w:t>galapatēriņš</w:t>
      </w:r>
      <w:proofErr w:type="spellEnd"/>
      <w:r>
        <w:rPr>
          <w:rFonts w:cs="Times New Roman"/>
        </w:rPr>
        <w:t>;</w:t>
      </w:r>
    </w:p>
    <w:p w14:paraId="752EA127" w14:textId="77777777" w:rsidR="005A613B" w:rsidRDefault="005A613B" w:rsidP="005A613B">
      <w:pPr>
        <w:pStyle w:val="NoSpacing"/>
        <w:rPr>
          <w:rFonts w:cs="Times New Roman"/>
        </w:rPr>
      </w:pPr>
      <w:r>
        <w:rPr>
          <w:rFonts w:cs="Times New Roman"/>
        </w:rPr>
        <w:lastRenderedPageBreak/>
        <w:t>rezidentu izdevumu aprēķināšanai ārvalstu braucienos salīdzināmajās cenās;</w:t>
      </w:r>
    </w:p>
    <w:p w14:paraId="18E94470" w14:textId="77777777" w:rsidR="005A613B" w:rsidRDefault="005A613B" w:rsidP="005A613B">
      <w:pPr>
        <w:pStyle w:val="NoSpacing"/>
        <w:rPr>
          <w:rFonts w:cs="Times New Roman"/>
        </w:rPr>
      </w:pPr>
      <w:r>
        <w:rPr>
          <w:rFonts w:cs="Times New Roman"/>
        </w:rPr>
        <w:t>vidējās svērtās PVN likmes aprēķinam;</w:t>
      </w:r>
    </w:p>
    <w:p w14:paraId="72A32E49" w14:textId="5BCA1C0B" w:rsidR="00381049" w:rsidRDefault="005A613B" w:rsidP="005A613B">
      <w:pPr>
        <w:pStyle w:val="NoSpacing"/>
        <w:rPr>
          <w:color w:val="000000"/>
        </w:rPr>
      </w:pPr>
      <w:r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bookmarkEnd w:id="2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4E8E704E" w:rsidR="00FB66EA" w:rsidRPr="00F33D0A" w:rsidRDefault="00F34984" w:rsidP="005A613B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2D9EE5A5" w14:textId="583F7932" w:rsidR="005A613B" w:rsidRDefault="005A613B" w:rsidP="005A613B">
      <w:pPr>
        <w:pStyle w:val="NoSpacing"/>
        <w:rPr>
          <w:rFonts w:cs="Times New Roman"/>
        </w:rPr>
      </w:pPr>
      <w:hyperlink r:id="rId8" w:history="1">
        <w:r w:rsidRPr="005A613B">
          <w:rPr>
            <w:rStyle w:val="Hyperlink"/>
            <w:shd w:val="clear" w:color="auto" w:fill="FFFFFF"/>
          </w:rPr>
          <w:t>Eiropas Parlamenta un Padomes 2011. gada 6. jūlija Regul</w:t>
        </w:r>
        <w:r w:rsidR="00BC06DF">
          <w:rPr>
            <w:rStyle w:val="Hyperlink"/>
            <w:shd w:val="clear" w:color="auto" w:fill="FFFFFF"/>
          </w:rPr>
          <w:t>u</w:t>
        </w:r>
        <w:r w:rsidRPr="005A613B">
          <w:rPr>
            <w:rStyle w:val="Hyperlink"/>
            <w:shd w:val="clear" w:color="auto" w:fill="FFFFFF"/>
          </w:rPr>
          <w:t xml:space="preserve"> (ES) Nr. 692/2011</w:t>
        </w:r>
      </w:hyperlink>
      <w:r>
        <w:rPr>
          <w:shd w:val="clear" w:color="auto" w:fill="FFFFFF"/>
        </w:rPr>
        <w:t xml:space="preserve"> attiecībā uz Eiropas statistiku par tūrismu</w:t>
      </w:r>
      <w:r>
        <w:rPr>
          <w:rFonts w:cs="Times New Roman"/>
        </w:rPr>
        <w:t xml:space="preserve"> un ar ko atceļ Padomes Direktīvu 95/57/EK (Dokuments attiecas uz EEZ);</w:t>
      </w:r>
    </w:p>
    <w:p w14:paraId="43DCB100" w14:textId="2BB7DAD2" w:rsidR="005A613B" w:rsidRDefault="005A613B" w:rsidP="005A613B">
      <w:pPr>
        <w:pStyle w:val="NoSpacing"/>
        <w:rPr>
          <w:rFonts w:cs="Times New Roman"/>
        </w:rPr>
      </w:pPr>
      <w:hyperlink r:id="rId9" w:history="1">
        <w:r w:rsidRPr="005A613B">
          <w:rPr>
            <w:rStyle w:val="Hyperlink"/>
            <w:rFonts w:cs="Times New Roman"/>
          </w:rPr>
          <w:t>Komisijas 2011. gada 20. oktobra Īstenošanas Regul</w:t>
        </w:r>
        <w:r w:rsidR="00BC06DF">
          <w:rPr>
            <w:rStyle w:val="Hyperlink"/>
            <w:rFonts w:cs="Times New Roman"/>
          </w:rPr>
          <w:t>u</w:t>
        </w:r>
        <w:r w:rsidRPr="005A613B">
          <w:rPr>
            <w:rStyle w:val="Hyperlink"/>
            <w:rFonts w:cs="Times New Roman"/>
          </w:rPr>
          <w:t xml:space="preserve"> (ES) Nr. 1051/2011</w:t>
        </w:r>
      </w:hyperlink>
      <w:r>
        <w:rPr>
          <w:rFonts w:cs="Times New Roman"/>
        </w:rPr>
        <w:t>, ar ko attiecībā uz kvalitātes ziņojumu struktūru un datu nosūtīšanu īsteno Eiropas Parlamenta un Padomes Regulu (ES) Nr.</w:t>
      </w:r>
      <w:r w:rsidR="00BC06DF">
        <w:rPr>
          <w:rFonts w:cs="Times New Roman"/>
        </w:rPr>
        <w:t> </w:t>
      </w:r>
      <w:r>
        <w:rPr>
          <w:rFonts w:cs="Times New Roman"/>
        </w:rPr>
        <w:t>692/2011 attiecībā uz Eiropas statistiku par tūrismu (Dokuments attiecas uz EEZ);</w:t>
      </w:r>
    </w:p>
    <w:p w14:paraId="047F2079" w14:textId="620A3C01" w:rsidR="005A613B" w:rsidRDefault="005A613B" w:rsidP="005A613B">
      <w:pPr>
        <w:pStyle w:val="NoSpacing"/>
        <w:rPr>
          <w:rFonts w:cs="Times New Roman"/>
        </w:rPr>
      </w:pPr>
      <w:hyperlink r:id="rId10" w:history="1">
        <w:r w:rsidRPr="005A613B">
          <w:rPr>
            <w:rStyle w:val="Hyperlink"/>
            <w:rFonts w:cs="Times New Roman"/>
          </w:rPr>
          <w:t>Komisijas  2013. gada 29. janvāra Īstenošanas Regul</w:t>
        </w:r>
        <w:r w:rsidR="00BC06DF">
          <w:rPr>
            <w:rStyle w:val="Hyperlink"/>
            <w:rFonts w:cs="Times New Roman"/>
          </w:rPr>
          <w:t>u</w:t>
        </w:r>
        <w:r w:rsidRPr="005A613B">
          <w:rPr>
            <w:rStyle w:val="Hyperlink"/>
            <w:rFonts w:cs="Times New Roman"/>
          </w:rPr>
          <w:t xml:space="preserve"> (ES) Nr. 81/2013,</w:t>
        </w:r>
      </w:hyperlink>
      <w:r>
        <w:rPr>
          <w:rFonts w:cs="Times New Roman"/>
        </w:rPr>
        <w:t xml:space="preserve"> ar ko attiecībā uz datu nosūtīšanai paredzētajām </w:t>
      </w:r>
      <w:proofErr w:type="spellStart"/>
      <w:r>
        <w:rPr>
          <w:rFonts w:cs="Times New Roman"/>
        </w:rPr>
        <w:t>mikrodatu</w:t>
      </w:r>
      <w:proofErr w:type="spellEnd"/>
      <w:r>
        <w:rPr>
          <w:rFonts w:cs="Times New Roman"/>
        </w:rPr>
        <w:t xml:space="preserve"> datnēm groza Īstenošanas regulu (ES) Nr. 1051/2011 (Dokuments attiecas uz EEZ);</w:t>
      </w:r>
    </w:p>
    <w:p w14:paraId="1C0D82C6" w14:textId="318D86A1" w:rsidR="005A613B" w:rsidRDefault="005A613B" w:rsidP="005A613B">
      <w:pPr>
        <w:pStyle w:val="NoSpacing"/>
        <w:rPr>
          <w:rFonts w:cs="Times New Roman"/>
        </w:rPr>
      </w:pPr>
      <w:hyperlink r:id="rId11" w:history="1">
        <w:r w:rsidRPr="005A613B">
          <w:rPr>
            <w:rStyle w:val="Hyperlink"/>
            <w:rFonts w:cs="Times New Roman"/>
          </w:rPr>
          <w:t>Komisijas 2013. gada 15. janvāra Deleģēt</w:t>
        </w:r>
        <w:r w:rsidR="00BC06DF">
          <w:rPr>
            <w:rStyle w:val="Hyperlink"/>
            <w:rFonts w:cs="Times New Roman"/>
          </w:rPr>
          <w:t>o</w:t>
        </w:r>
        <w:r w:rsidRPr="005A613B">
          <w:rPr>
            <w:rStyle w:val="Hyperlink"/>
            <w:rFonts w:cs="Times New Roman"/>
          </w:rPr>
          <w:t xml:space="preserve"> Regul</w:t>
        </w:r>
        <w:r w:rsidR="00BC06DF">
          <w:rPr>
            <w:rStyle w:val="Hyperlink"/>
            <w:rFonts w:cs="Times New Roman"/>
          </w:rPr>
          <w:t>u</w:t>
        </w:r>
        <w:r w:rsidRPr="005A613B">
          <w:rPr>
            <w:rStyle w:val="Hyperlink"/>
            <w:rFonts w:cs="Times New Roman"/>
          </w:rPr>
          <w:t xml:space="preserve"> (ES) Nr. 253/2013</w:t>
        </w:r>
      </w:hyperlink>
      <w:r>
        <w:rPr>
          <w:rFonts w:cs="Times New Roman"/>
        </w:rPr>
        <w:t>, ar ko attiecībā uz pielāgojumiem pēc Starptautiskās standartizētās izglītības klasifikācijas ISCED pārskatīšanas saistībā ar iesniedzamajiem mainīgajiem lielumiem un dalījumiem groza Eiropas Parlamenta un Padomes Regulas (ES) Nr. 692/2011 II pielikumu (Dokuments attiecas uz EEZ);</w:t>
      </w:r>
    </w:p>
    <w:p w14:paraId="7A525018" w14:textId="515A5F94" w:rsidR="00420AD1" w:rsidRPr="003B371D" w:rsidRDefault="005A613B" w:rsidP="005A613B">
      <w:pPr>
        <w:pStyle w:val="NoSpacing"/>
      </w:pPr>
      <w:hyperlink r:id="rId12" w:history="1">
        <w:r w:rsidRPr="005A613B">
          <w:rPr>
            <w:rStyle w:val="Hyperlink"/>
            <w:rFonts w:cs="Times New Roman"/>
          </w:rPr>
          <w:t>Komisijas 2019. gada 1. augusta Deleģēt</w:t>
        </w:r>
        <w:r w:rsidR="00BC06DF">
          <w:rPr>
            <w:rStyle w:val="Hyperlink"/>
            <w:rFonts w:cs="Times New Roman"/>
          </w:rPr>
          <w:t>o</w:t>
        </w:r>
        <w:r w:rsidRPr="005A613B">
          <w:rPr>
            <w:rStyle w:val="Hyperlink"/>
            <w:rFonts w:cs="Times New Roman"/>
          </w:rPr>
          <w:t xml:space="preserve"> Regul</w:t>
        </w:r>
        <w:r w:rsidR="00BC06DF">
          <w:rPr>
            <w:rStyle w:val="Hyperlink"/>
            <w:rFonts w:cs="Times New Roman"/>
          </w:rPr>
          <w:t>u</w:t>
        </w:r>
        <w:r w:rsidRPr="005A613B">
          <w:rPr>
            <w:rStyle w:val="Hyperlink"/>
            <w:rFonts w:cs="Times New Roman"/>
          </w:rPr>
          <w:t xml:space="preserve"> (ES) Nr. 2019/1681</w:t>
        </w:r>
      </w:hyperlink>
      <w:r>
        <w:rPr>
          <w:rFonts w:cs="Times New Roman"/>
        </w:rPr>
        <w:t>, ar ko attiecībā uz nosūtīšanas termiņiem un I un II pielikuma pielāgošanu groza Eiropas Parlamenta un Padomes Regulu (ES) Nr. 692/2011 attiecībā uz Eiropas statistiku par tūrismu (Dokuments attiecas uz EEZ).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3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7BB00A1F" w14:textId="3CFBDC8D" w:rsidR="005A613B" w:rsidRDefault="005912AD" w:rsidP="005A613B">
      <w:r>
        <w:t>Par iedzīvotāju atpūtas un darījumu braucieniem a</w:t>
      </w:r>
      <w:r w:rsidR="005A613B">
        <w:t>dministratīvo datu nav.</w:t>
      </w:r>
    </w:p>
    <w:p w14:paraId="76840ACA" w14:textId="2175A3FD" w:rsidR="00693255" w:rsidRDefault="00693255" w:rsidP="00693255">
      <w:bookmarkStart w:id="6" w:name="_Toc70071551"/>
      <w:bookmarkStart w:id="7" w:name="_Hlk73548038"/>
      <w:r>
        <w:t xml:space="preserve">Lai nodrošinātu telefoninterviju veikšanu, informāciju par respondenta vārdu un uzvārdu mēs iegūstam no Pilsonības un migrācijas lietu pārvaldes </w:t>
      </w:r>
      <w:r w:rsidR="006C3587">
        <w:t>Fizisko personu</w:t>
      </w:r>
      <w:r>
        <w:t xml:space="preserve"> reģistra saskaņā ar </w:t>
      </w:r>
      <w:hyperlink r:id="rId14" w:history="1">
        <w:r>
          <w:rPr>
            <w:rStyle w:val="Hyperlink"/>
          </w:rPr>
          <w:t>Statistikas likumu</w:t>
        </w:r>
      </w:hyperlink>
      <w:r>
        <w:t>, bet respondenta tālruņa numuru saņemam attiecīgā apsekojuma veikšanai no valsts iestādēm (Pilsonības un migrācijas lietu pārvaldes, Valsts ieņēmumu dienesta, Ceļu satiksmes drošības direkcijas</w:t>
      </w:r>
      <w:r w:rsidR="006C3587">
        <w:t>, Nacionālā veselības dienesta</w:t>
      </w:r>
      <w:r>
        <w:t xml:space="preserve">) saskaņā ar </w:t>
      </w:r>
      <w:hyperlink r:id="rId15" w:history="1">
        <w:r w:rsidR="006C3587" w:rsidRPr="00CF6881">
          <w:rPr>
            <w:rFonts w:cs="Verdana"/>
            <w:color w:val="0000FF"/>
            <w:szCs w:val="20"/>
          </w:rPr>
          <w:t>Oficiālās statistikas programm</w:t>
        </w:r>
      </w:hyperlink>
      <w:r w:rsidR="006C3587">
        <w:rPr>
          <w:rFonts w:cs="Verdana"/>
          <w:color w:val="0000FF"/>
          <w:szCs w:val="20"/>
        </w:rPr>
        <w:t>u</w:t>
      </w:r>
      <w:r w:rsidR="006C3587" w:rsidRPr="000D3BF1">
        <w:t xml:space="preserve">, </w:t>
      </w:r>
      <w:hyperlink r:id="rId16" w:history="1">
        <w:r w:rsidR="006C3587">
          <w:rPr>
            <w:rStyle w:val="Hyperlink"/>
          </w:rPr>
          <w:t>Statistikas likumu</w:t>
        </w:r>
      </w:hyperlink>
      <w:r w:rsidR="006C3587">
        <w:rPr>
          <w:rStyle w:val="Hyperlink"/>
        </w:rPr>
        <w:t xml:space="preserve"> </w:t>
      </w:r>
      <w:r w:rsidRPr="00693255">
        <w:rPr>
          <w:color w:val="000000"/>
        </w:rPr>
        <w:t>un</w:t>
      </w:r>
      <w:r>
        <w:t xml:space="preserve"> elektronisko sakaru komersantiem, kas </w:t>
      </w:r>
      <w:r>
        <w:lastRenderedPageBreak/>
        <w:t xml:space="preserve">nodrošina publiskā mobilo telefonu tīkla darbību, saskaņā ar </w:t>
      </w:r>
      <w:hyperlink r:id="rId17" w:history="1">
        <w:r>
          <w:rPr>
            <w:rStyle w:val="Hyperlink"/>
          </w:rPr>
          <w:t>Elektronisko sakaru likumu</w:t>
        </w:r>
      </w:hyperlink>
      <w:r>
        <w:t xml:space="preserve"> un </w:t>
      </w:r>
      <w:hyperlink r:id="rId18" w:history="1">
        <w:r>
          <w:rPr>
            <w:rStyle w:val="Hyperlink"/>
          </w:rPr>
          <w:t>Statistikas likumu</w:t>
        </w:r>
      </w:hyperlink>
      <w:r>
        <w:t>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r>
        <w:t>Kam ir jāiesniedz dati?</w:t>
      </w:r>
      <w:bookmarkEnd w:id="6"/>
    </w:p>
    <w:p w14:paraId="0BDD5FCA" w14:textId="0AEE0A8C" w:rsidR="005A613B" w:rsidRDefault="005A613B" w:rsidP="005A613B">
      <w:r>
        <w:t xml:space="preserve">Apsekojumā katru gadu iekļauj 12 tūkstošus </w:t>
      </w:r>
      <w:r w:rsidR="00CE3173">
        <w:t>privāto mājokļu</w:t>
      </w:r>
      <w:r>
        <w:t>, kurās aptaujā visas personas vecumā no 15 gadiem</w:t>
      </w:r>
      <w:r w:rsidR="00971BFE">
        <w:t xml:space="preserve"> un tiek vaicāts arī dzīvojošo bērnu skaits līdz 15 gadu vecumam</w:t>
      </w:r>
      <w:r>
        <w:t xml:space="preserve">. </w:t>
      </w:r>
      <w:r w:rsidR="00CE3173">
        <w:t xml:space="preserve">Mājokļi </w:t>
      </w:r>
      <w:r>
        <w:t>tiek atlasīt</w:t>
      </w:r>
      <w:r w:rsidR="00CE3173">
        <w:t>i</w:t>
      </w:r>
      <w:r>
        <w:t xml:space="preserve"> no kopējā adrešu saraksta</w:t>
      </w:r>
      <w:r w:rsidR="00BD7AFB">
        <w:t xml:space="preserve"> pēc stratificētas sistemātiskas atlases metodes</w:t>
      </w:r>
      <w:r>
        <w:t>.</w:t>
      </w:r>
    </w:p>
    <w:p w14:paraId="46B06FB8" w14:textId="1447668D" w:rsidR="005A613B" w:rsidRPr="005A613B" w:rsidRDefault="00BD7AFB" w:rsidP="005A613B">
      <w:pPr>
        <w:rPr>
          <w:rFonts w:cs="Times New Roman"/>
          <w:color w:val="000000"/>
          <w:szCs w:val="20"/>
        </w:rPr>
      </w:pPr>
      <w:r w:rsidRPr="00BD7AFB">
        <w:rPr>
          <w:rFonts w:cs="Times New Roman"/>
          <w:color w:val="000000"/>
          <w:szCs w:val="20"/>
        </w:rPr>
        <w:t>Stratifikācijas mainīgie: statistiskais reģions un teritorija (Rīga, admin</w:t>
      </w:r>
      <w:r>
        <w:rPr>
          <w:rFonts w:cs="Times New Roman"/>
          <w:color w:val="000000"/>
          <w:szCs w:val="20"/>
        </w:rPr>
        <w:t xml:space="preserve">istratīvā </w:t>
      </w:r>
      <w:proofErr w:type="spellStart"/>
      <w:r>
        <w:rPr>
          <w:rFonts w:cs="Times New Roman"/>
          <w:color w:val="000000"/>
          <w:szCs w:val="20"/>
        </w:rPr>
        <w:t>valstspilsēta</w:t>
      </w:r>
      <w:proofErr w:type="spellEnd"/>
      <w:r>
        <w:rPr>
          <w:rFonts w:cs="Times New Roman"/>
          <w:color w:val="000000"/>
          <w:szCs w:val="20"/>
        </w:rPr>
        <w:t xml:space="preserve">, </w:t>
      </w:r>
      <w:r w:rsidRPr="00BD7AFB">
        <w:rPr>
          <w:rFonts w:cs="Times New Roman"/>
          <w:color w:val="000000"/>
          <w:szCs w:val="20"/>
        </w:rPr>
        <w:t xml:space="preserve">novada </w:t>
      </w:r>
      <w:proofErr w:type="spellStart"/>
      <w:r>
        <w:rPr>
          <w:rFonts w:cs="Times New Roman"/>
          <w:color w:val="000000"/>
          <w:szCs w:val="20"/>
        </w:rPr>
        <w:t>valstspilsēta</w:t>
      </w:r>
      <w:proofErr w:type="spellEnd"/>
      <w:r w:rsidRPr="00BD7AFB">
        <w:rPr>
          <w:rFonts w:cs="Times New Roman"/>
          <w:color w:val="000000"/>
          <w:szCs w:val="20"/>
        </w:rPr>
        <w:t>,</w:t>
      </w:r>
      <w:r>
        <w:rPr>
          <w:rFonts w:cs="Times New Roman"/>
          <w:color w:val="000000"/>
          <w:szCs w:val="20"/>
        </w:rPr>
        <w:t xml:space="preserve"> </w:t>
      </w:r>
      <w:r w:rsidRPr="00BD7AFB">
        <w:rPr>
          <w:rFonts w:cs="Times New Roman"/>
          <w:color w:val="000000"/>
          <w:szCs w:val="20"/>
        </w:rPr>
        <w:t>novada pilsētas, pagasti).</w:t>
      </w:r>
      <w:r>
        <w:rPr>
          <w:rFonts w:cs="Times New Roman"/>
          <w:color w:val="000000"/>
          <w:szCs w:val="20"/>
        </w:rPr>
        <w:t xml:space="preserve"> </w:t>
      </w:r>
    </w:p>
    <w:p w14:paraId="149548DB" w14:textId="77777777" w:rsidR="00693255" w:rsidRDefault="00F33D0A" w:rsidP="004652B7">
      <w:bookmarkStart w:id="8" w:name="_Hlk73548736"/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3345DCDA" w:rsidR="00F33D0A" w:rsidRDefault="008E506E" w:rsidP="00693255">
      <w:pPr>
        <w:pStyle w:val="NoSpacing"/>
      </w:pPr>
      <w:hyperlink r:id="rId19" w:history="1">
        <w:r w:rsidRPr="005A613B">
          <w:rPr>
            <w:rStyle w:val="Hyperlink"/>
            <w:shd w:val="clear" w:color="auto" w:fill="FFFFFF"/>
          </w:rPr>
          <w:t>Eiropas Parlamenta un Padomes 2011. gada 6. jūlija Regula</w:t>
        </w:r>
        <w:r w:rsidR="00BC06DF">
          <w:rPr>
            <w:rStyle w:val="Hyperlink"/>
            <w:shd w:val="clear" w:color="auto" w:fill="FFFFFF"/>
          </w:rPr>
          <w:t>s</w:t>
        </w:r>
        <w:r w:rsidRPr="005A613B">
          <w:rPr>
            <w:rStyle w:val="Hyperlink"/>
            <w:shd w:val="clear" w:color="auto" w:fill="FFFFFF"/>
          </w:rPr>
          <w:t xml:space="preserve"> (ES) Nr. 692/2011</w:t>
        </w:r>
      </w:hyperlink>
      <w:r w:rsidRPr="008E506E">
        <w:t xml:space="preserve"> attiecībā uz Eiropas statistiku par tūrismu 1. pantu, 3. panta 1. punkta c) un d) apakšpunkti, 4. panta c), d) un e) apakšpunkti un 8.</w:t>
      </w:r>
      <w:r w:rsidR="00693255">
        <w:t> </w:t>
      </w:r>
      <w:r w:rsidRPr="008E506E">
        <w:t>panta a) apakšpunktu</w:t>
      </w:r>
      <w:r w:rsidR="00693255">
        <w:t>;</w:t>
      </w:r>
    </w:p>
    <w:p w14:paraId="2A8519EE" w14:textId="3CEF9C59" w:rsidR="00693255" w:rsidRDefault="00693255" w:rsidP="00693255">
      <w:pPr>
        <w:pStyle w:val="NoSpacing"/>
      </w:pPr>
      <w:hyperlink r:id="rId20" w:history="1">
        <w:r w:rsidRPr="00A611D9">
          <w:rPr>
            <w:rStyle w:val="Hyperlink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bookmarkEnd w:id="8"/>
      <w:bookmarkEnd w:id="7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bookmarkStart w:id="10" w:name="_Toc40698654"/>
    <w:p w14:paraId="5F2AE39D" w14:textId="6F921F6C" w:rsidR="00693255" w:rsidRPr="005A613B" w:rsidRDefault="00693255" w:rsidP="00693255">
      <w:pPr>
        <w:pStyle w:val="NoSpacing"/>
      </w:pPr>
      <w:r>
        <w:fldChar w:fldCharType="begin"/>
      </w:r>
      <w:r w:rsidR="009771BD">
        <w:instrText>HYPERLINK "https://stat.gov.lv/lv/statistikas-temas/noz/turisms" \l "publikacijas-un-infografikas"</w:instrText>
      </w:r>
      <w:r>
        <w:fldChar w:fldCharType="separate"/>
      </w:r>
      <w:r w:rsidRPr="00693255">
        <w:rPr>
          <w:rStyle w:val="Hyperlink"/>
        </w:rPr>
        <w:t>Oficiālās statistikas portālā</w:t>
      </w:r>
      <w:r>
        <w:fldChar w:fldCharType="end"/>
      </w:r>
    </w:p>
    <w:p w14:paraId="781275EB" w14:textId="50808FC8" w:rsidR="005A613B" w:rsidRPr="005A613B" w:rsidRDefault="005A613B" w:rsidP="005A613B">
      <w:pPr>
        <w:pStyle w:val="NoSpacing"/>
        <w:rPr>
          <w:rStyle w:val="Hyperlink"/>
          <w:color w:val="auto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Pr="005A613B">
        <w:t xml:space="preserve"> </w:t>
      </w:r>
      <w:hyperlink r:id="rId21" w:history="1">
        <w:r w:rsidRPr="005A613B">
          <w:rPr>
            <w:rStyle w:val="Hyperlink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1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1"/>
    </w:p>
    <w:p w14:paraId="2178433F" w14:textId="63C149F4" w:rsidR="005A613B" w:rsidRPr="005A613B" w:rsidRDefault="005A613B" w:rsidP="005A613B">
      <w:pPr>
        <w:pStyle w:val="NoSpacing"/>
      </w:pPr>
      <w:r w:rsidRPr="005A613B">
        <w:rPr>
          <w:rStyle w:val="Hyperlink"/>
          <w:color w:val="auto"/>
        </w:rPr>
        <w:t>Ekonomikas ministrija</w:t>
      </w:r>
      <w:r>
        <w:rPr>
          <w:rStyle w:val="Hyperlink"/>
          <w:color w:val="auto"/>
        </w:rPr>
        <w:t>s</w:t>
      </w:r>
      <w:r w:rsidRPr="005A613B">
        <w:rPr>
          <w:rStyle w:val="Hyperlink"/>
          <w:color w:val="auto"/>
        </w:rPr>
        <w:t xml:space="preserve"> </w:t>
      </w:r>
      <w:hyperlink r:id="rId22" w:history="1">
        <w:r w:rsidRPr="005A613B">
          <w:rPr>
            <w:rStyle w:val="Hyperlink"/>
          </w:rPr>
          <w:t>“Latvijas ekonomikas attīstības pārskats”</w:t>
        </w:r>
      </w:hyperlink>
    </w:p>
    <w:p w14:paraId="1DB88B40" w14:textId="0CC3E0F0" w:rsidR="005A613B" w:rsidRPr="005A613B" w:rsidRDefault="005A613B" w:rsidP="005A613B">
      <w:pPr>
        <w:pStyle w:val="NoSpacing"/>
      </w:pPr>
      <w:r w:rsidRPr="005A613B">
        <w:rPr>
          <w:rStyle w:val="Hyperlink"/>
          <w:color w:val="auto"/>
        </w:rPr>
        <w:t>Ekonomikas ministrija</w:t>
      </w:r>
      <w:r>
        <w:rPr>
          <w:rStyle w:val="Hyperlink"/>
          <w:color w:val="auto"/>
        </w:rPr>
        <w:t xml:space="preserve">s </w:t>
      </w:r>
      <w:hyperlink r:id="rId23" w:history="1">
        <w:r w:rsidRPr="005A613B">
          <w:rPr>
            <w:rStyle w:val="Hyperlink"/>
          </w:rPr>
          <w:t>“Latvijas tūrisma attīstības rīcības plāns 2021. – 2027. gadam”</w:t>
        </w:r>
      </w:hyperlink>
    </w:p>
    <w:p w14:paraId="4BC2D50A" w14:textId="099FAE0F" w:rsidR="005A613B" w:rsidRPr="005A613B" w:rsidRDefault="005A613B" w:rsidP="005A613B">
      <w:pPr>
        <w:pStyle w:val="NoSpacing"/>
      </w:pPr>
      <w:r w:rsidRPr="005A613B">
        <w:t>Ekonomiskās sadarbības un attīstības organizācija (</w:t>
      </w:r>
      <w:hyperlink r:id="rId24" w:history="1">
        <w:r w:rsidRPr="005A613B">
          <w:rPr>
            <w:rStyle w:val="Hyperlink"/>
          </w:rPr>
          <w:t>OECD</w:t>
        </w:r>
      </w:hyperlink>
      <w:r w:rsidRPr="005A613B">
        <w:t>)</w:t>
      </w:r>
    </w:p>
    <w:p w14:paraId="3CB4F6A1" w14:textId="3C7D0466" w:rsidR="00381049" w:rsidRPr="005A613B" w:rsidRDefault="005A613B" w:rsidP="005A613B">
      <w:pPr>
        <w:pStyle w:val="NoSpacing"/>
      </w:pPr>
      <w:r w:rsidRPr="005A613B">
        <w:t>Pasaules Tūrisma organizācija (</w:t>
      </w:r>
      <w:hyperlink r:id="rId25" w:history="1">
        <w:r w:rsidRPr="005A613B">
          <w:rPr>
            <w:rStyle w:val="Hyperlink"/>
          </w:rPr>
          <w:t>UNWTO</w:t>
        </w:r>
      </w:hyperlink>
      <w:r w:rsidRPr="005A613B"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lastRenderedPageBreak/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6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7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in;height:71.3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BA070C5"/>
    <w:multiLevelType w:val="hybridMultilevel"/>
    <w:tmpl w:val="EB4684C6"/>
    <w:lvl w:ilvl="0" w:tplc="83D4DFA8">
      <w:numFmt w:val="bullet"/>
      <w:lvlText w:val=""/>
      <w:lvlJc w:val="left"/>
      <w:pPr>
        <w:ind w:left="206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76234982">
    <w:abstractNumId w:val="14"/>
  </w:num>
  <w:num w:numId="2" w16cid:durableId="621348589">
    <w:abstractNumId w:val="27"/>
  </w:num>
  <w:num w:numId="3" w16cid:durableId="247276272">
    <w:abstractNumId w:val="18"/>
  </w:num>
  <w:num w:numId="4" w16cid:durableId="2435953">
    <w:abstractNumId w:val="20"/>
  </w:num>
  <w:num w:numId="5" w16cid:durableId="672533245">
    <w:abstractNumId w:val="28"/>
  </w:num>
  <w:num w:numId="6" w16cid:durableId="481584749">
    <w:abstractNumId w:val="26"/>
  </w:num>
  <w:num w:numId="7" w16cid:durableId="205801625">
    <w:abstractNumId w:val="14"/>
  </w:num>
  <w:num w:numId="8" w16cid:durableId="1255090037">
    <w:abstractNumId w:val="14"/>
  </w:num>
  <w:num w:numId="9" w16cid:durableId="2002079911">
    <w:abstractNumId w:val="14"/>
  </w:num>
  <w:num w:numId="10" w16cid:durableId="1047335290">
    <w:abstractNumId w:val="14"/>
  </w:num>
  <w:num w:numId="11" w16cid:durableId="1021932593">
    <w:abstractNumId w:val="0"/>
  </w:num>
  <w:num w:numId="12" w16cid:durableId="500241090">
    <w:abstractNumId w:val="18"/>
  </w:num>
  <w:num w:numId="13" w16cid:durableId="1701930397">
    <w:abstractNumId w:val="9"/>
  </w:num>
  <w:num w:numId="14" w16cid:durableId="1796830326">
    <w:abstractNumId w:val="4"/>
  </w:num>
  <w:num w:numId="15" w16cid:durableId="1883398076">
    <w:abstractNumId w:val="16"/>
  </w:num>
  <w:num w:numId="16" w16cid:durableId="1723864803">
    <w:abstractNumId w:val="2"/>
  </w:num>
  <w:num w:numId="17" w16cid:durableId="546531744">
    <w:abstractNumId w:val="20"/>
  </w:num>
  <w:num w:numId="18" w16cid:durableId="588541555">
    <w:abstractNumId w:val="20"/>
  </w:num>
  <w:num w:numId="19" w16cid:durableId="488987434">
    <w:abstractNumId w:val="7"/>
  </w:num>
  <w:num w:numId="20" w16cid:durableId="1387332854">
    <w:abstractNumId w:val="29"/>
  </w:num>
  <w:num w:numId="21" w16cid:durableId="480468365">
    <w:abstractNumId w:val="8"/>
  </w:num>
  <w:num w:numId="22" w16cid:durableId="1376392060">
    <w:abstractNumId w:val="21"/>
  </w:num>
  <w:num w:numId="23" w16cid:durableId="326592137">
    <w:abstractNumId w:val="3"/>
  </w:num>
  <w:num w:numId="24" w16cid:durableId="1699815176">
    <w:abstractNumId w:val="6"/>
  </w:num>
  <w:num w:numId="25" w16cid:durableId="152841154">
    <w:abstractNumId w:val="1"/>
  </w:num>
  <w:num w:numId="26" w16cid:durableId="351223203">
    <w:abstractNumId w:val="24"/>
  </w:num>
  <w:num w:numId="27" w16cid:durableId="1954942627">
    <w:abstractNumId w:val="15"/>
  </w:num>
  <w:num w:numId="28" w16cid:durableId="70547053">
    <w:abstractNumId w:val="5"/>
  </w:num>
  <w:num w:numId="29" w16cid:durableId="1961691782">
    <w:abstractNumId w:val="13"/>
  </w:num>
  <w:num w:numId="30" w16cid:durableId="1816531580">
    <w:abstractNumId w:val="22"/>
  </w:num>
  <w:num w:numId="31" w16cid:durableId="886069969">
    <w:abstractNumId w:val="23"/>
  </w:num>
  <w:num w:numId="32" w16cid:durableId="1706179906">
    <w:abstractNumId w:val="12"/>
  </w:num>
  <w:num w:numId="33" w16cid:durableId="194468340">
    <w:abstractNumId w:val="25"/>
  </w:num>
  <w:num w:numId="34" w16cid:durableId="451023994">
    <w:abstractNumId w:val="17"/>
  </w:num>
  <w:num w:numId="35" w16cid:durableId="1701512718">
    <w:abstractNumId w:val="10"/>
  </w:num>
  <w:num w:numId="36" w16cid:durableId="182062995">
    <w:abstractNumId w:val="11"/>
  </w:num>
  <w:num w:numId="37" w16cid:durableId="345524738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207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109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1530"/>
    <w:rsid w:val="00162140"/>
    <w:rsid w:val="0017189E"/>
    <w:rsid w:val="00172411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2568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29E9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01B4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12A78"/>
    <w:rsid w:val="00420AD1"/>
    <w:rsid w:val="00421416"/>
    <w:rsid w:val="00436ACB"/>
    <w:rsid w:val="004441B2"/>
    <w:rsid w:val="00453416"/>
    <w:rsid w:val="0046398C"/>
    <w:rsid w:val="00464227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C6974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2AD"/>
    <w:rsid w:val="00591D58"/>
    <w:rsid w:val="005A613B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93255"/>
    <w:rsid w:val="006A3040"/>
    <w:rsid w:val="006A3371"/>
    <w:rsid w:val="006A7D59"/>
    <w:rsid w:val="006A7E50"/>
    <w:rsid w:val="006B6DF9"/>
    <w:rsid w:val="006C3304"/>
    <w:rsid w:val="006C3587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0B8B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38AE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67669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E506E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1BFE"/>
    <w:rsid w:val="00972B53"/>
    <w:rsid w:val="009771BD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C4678"/>
    <w:rsid w:val="009D7063"/>
    <w:rsid w:val="009E389F"/>
    <w:rsid w:val="009E775F"/>
    <w:rsid w:val="00A00EEF"/>
    <w:rsid w:val="00A16826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1F02"/>
    <w:rsid w:val="00B551A7"/>
    <w:rsid w:val="00B67B3C"/>
    <w:rsid w:val="00B72140"/>
    <w:rsid w:val="00B75F87"/>
    <w:rsid w:val="00B83C0A"/>
    <w:rsid w:val="00B87EBF"/>
    <w:rsid w:val="00B90CD3"/>
    <w:rsid w:val="00B94884"/>
    <w:rsid w:val="00B96FA5"/>
    <w:rsid w:val="00B973C4"/>
    <w:rsid w:val="00BA68F7"/>
    <w:rsid w:val="00BB01A1"/>
    <w:rsid w:val="00BB0260"/>
    <w:rsid w:val="00BB0A22"/>
    <w:rsid w:val="00BB0AD0"/>
    <w:rsid w:val="00BB1C60"/>
    <w:rsid w:val="00BB1DE0"/>
    <w:rsid w:val="00BB699F"/>
    <w:rsid w:val="00BC06DF"/>
    <w:rsid w:val="00BC0E29"/>
    <w:rsid w:val="00BC271B"/>
    <w:rsid w:val="00BC482E"/>
    <w:rsid w:val="00BD060F"/>
    <w:rsid w:val="00BD7AFB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E3173"/>
    <w:rsid w:val="00CF0D9F"/>
    <w:rsid w:val="00CF355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2CBB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A7D5D"/>
    <w:rsid w:val="00EA7D79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D6B37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1R0692&amp;qid=1621590449252" TargetMode="External"/><Relationship Id="rId13" Type="http://schemas.openxmlformats.org/officeDocument/2006/relationships/hyperlink" Target="https://likumi.lv/ta/id/274749" TargetMode="External"/><Relationship Id="rId18" Type="http://schemas.openxmlformats.org/officeDocument/2006/relationships/hyperlink" Target="https://likumi.lv/ta/id/274749" TargetMode="External"/><Relationship Id="rId26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ec.europa.eu/eurostat/web/tourism/database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ur-lex.europa.eu/legal-content/LV/TXT/?uri=CELEX%3A32019R1681&amp;qid=1621590609433" TargetMode="External"/><Relationship Id="rId17" Type="http://schemas.openxmlformats.org/officeDocument/2006/relationships/hyperlink" Target="https://likumi.lv/ta/id/334345-elektronisko-sakaru-likums" TargetMode="External"/><Relationship Id="rId25" Type="http://schemas.openxmlformats.org/officeDocument/2006/relationships/hyperlink" Target="https://www.e-unwto.org/toc/unwtotfb/curre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kumi.lv/ta/id/274749" TargetMode="External"/><Relationship Id="rId20" Type="http://schemas.openxmlformats.org/officeDocument/2006/relationships/hyperlink" Target="https://likumi.lv/ta/id/287576-oficialas-statistikas-veidlapu-paraugu-apstiprinasanas-un-veidlapu-aizpildisanas-un-iesniegsanas-noteikum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TXT/?uri=CELEX%3A32013R0253&amp;qid=1621590567951" TargetMode="External"/><Relationship Id="rId24" Type="http://schemas.openxmlformats.org/officeDocument/2006/relationships/hyperlink" Target="https://www.oecd.org/cfe/tourism/tourism-statistic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likumi.lv/ta/id/347449-noteikumi-par-oficialas-statistikas-programmu-20242026gadam" TargetMode="External"/><Relationship Id="rId23" Type="http://schemas.openxmlformats.org/officeDocument/2006/relationships/hyperlink" Target="https://www.em.gov.lv/sites/em/files/turisma_ricibas_plans_2021_202720brandtour_final20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ur-lex.europa.eu/legal-content/LV/TXT/?uri=CELEX%3A32013R0081&amp;qid=1621590534089" TargetMode="External"/><Relationship Id="rId19" Type="http://schemas.openxmlformats.org/officeDocument/2006/relationships/hyperlink" Target="https://eur-lex.europa.eu/legal-content/LV/TXT/?uri=CELEX%3A32011R0692&amp;qid=1621590449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1R1051&amp;qid=1621590486982" TargetMode="External"/><Relationship Id="rId14" Type="http://schemas.openxmlformats.org/officeDocument/2006/relationships/hyperlink" Target="https://likumi.lv/ta/id/274749" TargetMode="External"/><Relationship Id="rId22" Type="http://schemas.openxmlformats.org/officeDocument/2006/relationships/hyperlink" Target="https://www.em.gov.lv/lv/ekonomikas_attistiba/ekonomiska_situacija/latvijas_ekonomikas_attistibas_parskats/" TargetMode="External"/><Relationship Id="rId27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6038</Words>
  <Characters>3443</Characters>
  <Application>Microsoft Office Word</Application>
  <DocSecurity>4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Dace Kalsone</cp:lastModifiedBy>
  <cp:revision>2</cp:revision>
  <cp:lastPrinted>2024-10-25T10:11:00Z</cp:lastPrinted>
  <dcterms:created xsi:type="dcterms:W3CDTF">2025-12-04T08:39:00Z</dcterms:created>
  <dcterms:modified xsi:type="dcterms:W3CDTF">2025-12-04T08:39:00Z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b204c8ed-158d-4ef7-a5fe-8c4297e0c106</vt:lpwstr>
  </property>
</Properties>
</file>