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090DC6BE" w:rsidR="0051672D" w:rsidRPr="008946E0" w:rsidRDefault="008946E0" w:rsidP="008A257A">
      <w:pPr>
        <w:spacing w:after="120" w:line="240" w:lineRule="auto"/>
        <w:ind w:left="0"/>
        <w:rPr>
          <w:sz w:val="26"/>
          <w:szCs w:val="26"/>
        </w:rPr>
      </w:pPr>
      <w:r w:rsidRPr="008946E0">
        <w:rPr>
          <w:rFonts w:cs="Open Sans"/>
          <w:sz w:val="26"/>
          <w:szCs w:val="26"/>
        </w:rPr>
        <w:t>“Pārskats par vidējām dabasgāzes cenām” (1-GC</w:t>
      </w:r>
      <w:r w:rsidRPr="008946E0"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Saturardtjavirsraksts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ipersaite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ipersaite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ipersaite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ipersaite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ipersaite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ipersaite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ipersaite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Saturs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Saturs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ipersaite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Saturs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Virsraksts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1322A242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CF6881">
          <w:rPr>
            <w:rFonts w:cs="Verdana"/>
            <w:color w:val="0000FF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8946E0" w:rsidRPr="00A46D52">
        <w:rPr>
          <w:szCs w:val="20"/>
        </w:rPr>
        <w:t>20. punktā (Enerģētikas statistika)</w:t>
      </w:r>
      <w:r w:rsidRPr="008946E0">
        <w:t>.</w:t>
      </w:r>
    </w:p>
    <w:p w14:paraId="085230E9" w14:textId="09B9B363" w:rsidR="008946E0" w:rsidRDefault="00C631CF" w:rsidP="008946E0">
      <w:r>
        <w:t>Ikviena</w:t>
      </w:r>
      <w:r w:rsidR="008946E0">
        <w:t xml:space="preserve"> uzņēmuma datus izmanto, lai apkopotu informāciju par pārvadīto, sadalīto un pārdoto dabasgāzes daudzumu, tarifu un izmaksām. Tālāk veicot aprēķinus, tiek noteiktas vidējās dabasgāzes cenas mājsaimniecībām un citiem gala lietotājiem. </w:t>
      </w:r>
    </w:p>
    <w:p w14:paraId="542B0A5F" w14:textId="7658AF4A" w:rsidR="008946E0" w:rsidRDefault="008946E0" w:rsidP="008946E0">
      <w:r>
        <w:t>Pārskatā iegūtos datus izmanto arī:</w:t>
      </w:r>
    </w:p>
    <w:p w14:paraId="1239D367" w14:textId="781DED0E" w:rsidR="008946E0" w:rsidRDefault="008946E0" w:rsidP="008946E0">
      <w:pPr>
        <w:pStyle w:val="Bezatstarpm"/>
      </w:pPr>
      <w:r>
        <w:t>lai izstrādātu Eiropas Savienības enerģētikas politiku un sekotu dalībvalstu enerģētikas tirgus attīstībai;</w:t>
      </w:r>
    </w:p>
    <w:p w14:paraId="4F6FD7AE" w14:textId="77777777" w:rsidR="008946E0" w:rsidRDefault="008946E0" w:rsidP="008946E0">
      <w:pPr>
        <w:pStyle w:val="Bezatstarpm"/>
        <w:rPr>
          <w:rFonts w:cs="Times New Roman"/>
        </w:rPr>
      </w:pPr>
      <w:r>
        <w:t>Eiropas Savienības dalībvalstu cenu analīzei;</w:t>
      </w:r>
    </w:p>
    <w:p w14:paraId="72A32E49" w14:textId="10B21012" w:rsidR="00381049" w:rsidRDefault="008946E0" w:rsidP="008946E0">
      <w:pPr>
        <w:pStyle w:val="Bezatstarpm"/>
      </w:pPr>
      <w:r>
        <w:t>dažādu aspektu ietekmes analīzei uz galīgajām cenām.</w:t>
      </w:r>
    </w:p>
    <w:p w14:paraId="41185709" w14:textId="56890C52" w:rsidR="00FB66EA" w:rsidRPr="00C13E38" w:rsidRDefault="008C258D" w:rsidP="004652B7">
      <w:pPr>
        <w:pStyle w:val="Virsraksts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5BF8272D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8946E0">
        <w:t>o</w:t>
      </w:r>
      <w:r w:rsidRPr="00C13E38">
        <w:t xml:space="preserve"> </w:t>
      </w:r>
      <w:r w:rsidR="00322F85" w:rsidRPr="00C13E38">
        <w:t>tiesību aktu:</w:t>
      </w:r>
    </w:p>
    <w:p w14:paraId="276BD1E0" w14:textId="3A74213D" w:rsidR="00156802" w:rsidRDefault="008946E0" w:rsidP="008A2572">
      <w:pPr>
        <w:pStyle w:val="Bezatstarpm"/>
        <w:numPr>
          <w:ilvl w:val="2"/>
          <w:numId w:val="26"/>
        </w:numPr>
      </w:pPr>
      <w:hyperlink r:id="rId8" w:history="1">
        <w:r w:rsidRPr="008946E0">
          <w:rPr>
            <w:rStyle w:val="Hipersaite"/>
            <w:rFonts w:cs="Times New Roman"/>
          </w:rPr>
          <w:t>Eiropas Parlamenta un Padomes 2016. gada 26. oktobra Regul</w:t>
        </w:r>
        <w:r w:rsidR="003128DF">
          <w:rPr>
            <w:rStyle w:val="Hipersaite"/>
            <w:rFonts w:cs="Times New Roman"/>
          </w:rPr>
          <w:t>u</w:t>
        </w:r>
        <w:r w:rsidRPr="008946E0">
          <w:rPr>
            <w:rStyle w:val="Hipersaite"/>
            <w:rFonts w:cs="Times New Roman"/>
          </w:rPr>
          <w:t xml:space="preserve"> (ES) Nr. 2016/1952</w:t>
        </w:r>
      </w:hyperlink>
      <w:r>
        <w:rPr>
          <w:rFonts w:cs="Times New Roman"/>
        </w:rPr>
        <w:t xml:space="preserve"> par Eiropas statistiku attiecībā uz dabasgāzes un elektroenerģijas cenām un ar ko atceļ Direktīvu 2008/92/EK (Dokuments attiecas uz EEZ).</w:t>
      </w:r>
    </w:p>
    <w:p w14:paraId="0EA759E9" w14:textId="43AFA218" w:rsidR="00E47D56" w:rsidRPr="00F37885" w:rsidRDefault="008C258D" w:rsidP="00A513C7">
      <w:pPr>
        <w:pStyle w:val="Virsraksts1"/>
        <w:numPr>
          <w:ilvl w:val="0"/>
          <w:numId w:val="29"/>
        </w:numPr>
      </w:pPr>
      <w:bookmarkStart w:id="3" w:name="_Toc70071549"/>
      <w:r>
        <w:t>Kur ir noteikts p</w:t>
      </w:r>
      <w:r w:rsidR="00E47D56" w:rsidRPr="00F37885">
        <w:t>ienākums iesniegt datus</w:t>
      </w:r>
      <w:r>
        <w:t>?</w:t>
      </w:r>
      <w:bookmarkEnd w:id="3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8C1740">
          <w:rPr>
            <w:rStyle w:val="Hipersaite"/>
            <w:rFonts w:cs="Times New Roman"/>
            <w:szCs w:val="20"/>
          </w:rPr>
          <w:t>Stat</w:t>
        </w:r>
        <w:r w:rsidR="00DC7EFA" w:rsidRPr="008C1740">
          <w:rPr>
            <w:rStyle w:val="Hipersaite"/>
            <w:rFonts w:cs="Times New Roman"/>
            <w:szCs w:val="20"/>
          </w:rPr>
          <w:t>i</w:t>
        </w:r>
        <w:r w:rsidRPr="008C1740">
          <w:rPr>
            <w:rStyle w:val="Hipersaite"/>
            <w:rFonts w:cs="Times New Roman"/>
            <w:szCs w:val="20"/>
          </w:rPr>
          <w:t>s</w:t>
        </w:r>
        <w:r w:rsidR="00DC7EFA" w:rsidRPr="008C1740">
          <w:rPr>
            <w:rStyle w:val="Hipersaite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Virsraksts1"/>
        <w:numPr>
          <w:ilvl w:val="0"/>
          <w:numId w:val="25"/>
        </w:numPr>
      </w:pPr>
      <w:bookmarkStart w:id="4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4"/>
    </w:p>
    <w:p w14:paraId="584FBD34" w14:textId="0D2B60E3" w:rsidR="00381049" w:rsidRDefault="008946E0" w:rsidP="00CF0D9F">
      <w:r>
        <w:rPr>
          <w:rFonts w:cs="Open Sans"/>
          <w:szCs w:val="20"/>
        </w:rPr>
        <w:t>Administratīvo datu nav.</w:t>
      </w:r>
    </w:p>
    <w:p w14:paraId="1F5F0C07" w14:textId="211764FC" w:rsidR="004E42BB" w:rsidRPr="00C13E38" w:rsidRDefault="00D44A6F" w:rsidP="004652B7">
      <w:pPr>
        <w:pStyle w:val="Virsraksts1"/>
        <w:numPr>
          <w:ilvl w:val="0"/>
          <w:numId w:val="24"/>
        </w:numPr>
      </w:pPr>
      <w:bookmarkStart w:id="5" w:name="_Toc70071551"/>
      <w:r>
        <w:t>Kam ir jāiesniedz dati?</w:t>
      </w:r>
      <w:bookmarkEnd w:id="5"/>
    </w:p>
    <w:p w14:paraId="71539DD3" w14:textId="75D9FF84" w:rsidR="00D20956" w:rsidRPr="00F33D0A" w:rsidRDefault="008946E0" w:rsidP="00CF0D9F">
      <w:r>
        <w:rPr>
          <w:color w:val="000000" w:themeColor="text1"/>
        </w:rPr>
        <w:t>Apsekojumā iekļauj v</w:t>
      </w:r>
      <w:r>
        <w:rPr>
          <w:color w:val="000000"/>
        </w:rPr>
        <w:t>isus ekonomiski aktīvos dabasgāzes tirgotājus, sadales un pārvades operatorus, kuriem </w:t>
      </w:r>
      <w:hyperlink r:id="rId10" w:history="1">
        <w:r>
          <w:rPr>
            <w:rStyle w:val="Hipersaite"/>
            <w:color w:val="000000"/>
          </w:rPr>
          <w:t>Sabiedrisko pakalpojumu regulēšanas komisija</w:t>
        </w:r>
      </w:hyperlink>
      <w:r>
        <w:rPr>
          <w:color w:val="000000"/>
        </w:rPr>
        <w:t xml:space="preserve"> ir piešķīrusi licences dabasgāzes tirgošanai, sadalei un pārvadei</w:t>
      </w:r>
      <w:r>
        <w:t>.</w:t>
      </w:r>
    </w:p>
    <w:p w14:paraId="0F4D4F5D" w14:textId="77777777" w:rsidR="00C5242A" w:rsidRDefault="00F33D0A" w:rsidP="00A86F55">
      <w:r w:rsidRPr="009E389F">
        <w:t xml:space="preserve">Izlases izveidošanas </w:t>
      </w:r>
      <w:r>
        <w:t>standarts</w:t>
      </w:r>
      <w:r w:rsidRPr="009E389F">
        <w:t>:</w:t>
      </w:r>
    </w:p>
    <w:p w14:paraId="438B7516" w14:textId="0AFDD9B4" w:rsidR="00C5242A" w:rsidRDefault="000945C6" w:rsidP="00C5242A">
      <w:pPr>
        <w:pStyle w:val="Bezatstarpm"/>
      </w:pPr>
      <w:hyperlink r:id="rId11" w:history="1">
        <w:r>
          <w:rPr>
            <w:rStyle w:val="Hipersaite"/>
            <w:shd w:val="clear" w:color="auto" w:fill="FFFFFF"/>
          </w:rPr>
          <w:t>Eiropas Parlamenta un Padomes 2016. gada 26.</w:t>
        </w:r>
        <w:r w:rsidR="00395236">
          <w:rPr>
            <w:rStyle w:val="Hipersaite"/>
            <w:shd w:val="clear" w:color="auto" w:fill="FFFFFF"/>
          </w:rPr>
          <w:t> </w:t>
        </w:r>
        <w:r>
          <w:rPr>
            <w:rStyle w:val="Hipersaite"/>
            <w:shd w:val="clear" w:color="auto" w:fill="FFFFFF"/>
          </w:rPr>
          <w:t>oktobra Regula</w:t>
        </w:r>
        <w:r w:rsidR="00395236">
          <w:rPr>
            <w:rStyle w:val="Hipersaite"/>
            <w:shd w:val="clear" w:color="auto" w:fill="FFFFFF"/>
          </w:rPr>
          <w:t>s</w:t>
        </w:r>
        <w:r>
          <w:rPr>
            <w:rStyle w:val="Hipersaite"/>
            <w:shd w:val="clear" w:color="auto" w:fill="FFFFFF"/>
          </w:rPr>
          <w:t xml:space="preserve"> (ES) Nr. 2016/1952</w:t>
        </w:r>
      </w:hyperlink>
      <w:r>
        <w:rPr>
          <w:shd w:val="clear" w:color="auto" w:fill="FFFFFF"/>
        </w:rPr>
        <w:t xml:space="preserve"> par Eiropas statistiku attiecībā uz dabasgāzes un elektroenerģijas cenām</w:t>
      </w:r>
      <w:r>
        <w:t xml:space="preserve"> un ar ko atceļ Direktīvu 2008/92/EK (Dokuments attiecas uz EEZ) 4.pants</w:t>
      </w:r>
      <w:bookmarkStart w:id="6" w:name="_Toc70071552"/>
      <w:r w:rsidR="003128DF">
        <w:t xml:space="preserve"> un I pielikums</w:t>
      </w:r>
      <w:r w:rsidR="00C5242A">
        <w:t>;</w:t>
      </w:r>
    </w:p>
    <w:p w14:paraId="726F747E" w14:textId="3DDF12E6" w:rsidR="00A86F55" w:rsidRDefault="001D219C" w:rsidP="00C5242A">
      <w:pPr>
        <w:pStyle w:val="Bezatstarpm"/>
      </w:pPr>
      <w:hyperlink r:id="rId12" w:history="1">
        <w:r w:rsidRPr="00A611D9">
          <w:rPr>
            <w:rStyle w:val="Hipersaite"/>
          </w:rPr>
          <w:t>Ministru kabineta 2016. gada 20. decembra noteikumi Nr. 812</w:t>
        </w:r>
      </w:hyperlink>
      <w:r w:rsidRPr="00A611D9">
        <w:t xml:space="preserve"> ”Oficiālās statistikas veidlapu paraugu apstiprināšanas un veidlapu aizpildīšanas un iesniegšanas noteikumi”.</w:t>
      </w:r>
    </w:p>
    <w:p w14:paraId="74D77E06" w14:textId="5D67CEA5" w:rsidR="009B665C" w:rsidRDefault="00D44A6F" w:rsidP="00395236">
      <w:pPr>
        <w:pStyle w:val="Virsraksts1"/>
        <w:numPr>
          <w:ilvl w:val="0"/>
          <w:numId w:val="21"/>
        </w:numPr>
      </w:pPr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6"/>
    </w:p>
    <w:p w14:paraId="79652C5F" w14:textId="0B6C151E" w:rsidR="008946E0" w:rsidRPr="008946E0" w:rsidRDefault="008946E0" w:rsidP="008946E0">
      <w:pPr>
        <w:pStyle w:val="Bezatstarpm"/>
      </w:pPr>
      <w:r>
        <w:t xml:space="preserve">Oficiālās statistikas portālā </w:t>
      </w:r>
      <w:r w:rsidRPr="008946E0">
        <w:rPr>
          <w:rFonts w:cs="Times New Roman"/>
        </w:rPr>
        <w:t xml:space="preserve">dati </w:t>
      </w:r>
      <w:bookmarkStart w:id="7" w:name="_Hlk53669654"/>
      <w:r>
        <w:t>par dabasgāzes vidējām cenām</w:t>
      </w:r>
      <w:bookmarkEnd w:id="7"/>
      <w:r>
        <w:t>:</w:t>
      </w:r>
    </w:p>
    <w:p w14:paraId="396443F4" w14:textId="77777777" w:rsidR="008946E0" w:rsidRDefault="008946E0" w:rsidP="008946E0">
      <w:pPr>
        <w:pStyle w:val="Bezatstarpm"/>
        <w:numPr>
          <w:ilvl w:val="1"/>
          <w:numId w:val="46"/>
        </w:numPr>
        <w:rPr>
          <w:szCs w:val="20"/>
        </w:rPr>
      </w:pPr>
      <w:hyperlink r:id="rId13" w:history="1">
        <w:r>
          <w:rPr>
            <w:rStyle w:val="Hipersaite"/>
            <w:szCs w:val="20"/>
          </w:rPr>
          <w:t>Dabasgāzes vidējās cenas mājsaimniecībām (EUR/GJ)</w:t>
        </w:r>
      </w:hyperlink>
    </w:p>
    <w:p w14:paraId="568FC2D4" w14:textId="4EAB90D2" w:rsidR="008946E0" w:rsidRDefault="008946E0" w:rsidP="008946E0">
      <w:pPr>
        <w:pStyle w:val="Bezatstarpm"/>
        <w:numPr>
          <w:ilvl w:val="1"/>
          <w:numId w:val="46"/>
        </w:numPr>
        <w:rPr>
          <w:szCs w:val="20"/>
        </w:rPr>
      </w:pPr>
      <w:hyperlink r:id="rId14" w:history="1">
        <w:r>
          <w:rPr>
            <w:rStyle w:val="Hipersaite"/>
            <w:szCs w:val="20"/>
          </w:rPr>
          <w:t>Dabasgāzes vidējās cenas galalietotājiem, kas nav mājsaim</w:t>
        </w:r>
        <w:r w:rsidR="009F4BA6">
          <w:rPr>
            <w:rStyle w:val="Hipersaite"/>
            <w:szCs w:val="20"/>
          </w:rPr>
          <w:t>n</w:t>
        </w:r>
        <w:r>
          <w:rPr>
            <w:rStyle w:val="Hipersaite"/>
            <w:szCs w:val="20"/>
          </w:rPr>
          <w:t>iecības (EUR/GJ)</w:t>
        </w:r>
      </w:hyperlink>
    </w:p>
    <w:p w14:paraId="7143B77A" w14:textId="0BB213B7" w:rsidR="008946E0" w:rsidRPr="008946E0" w:rsidRDefault="008946E0" w:rsidP="008946E0">
      <w:pPr>
        <w:pStyle w:val="Bezatstarpm"/>
      </w:pPr>
      <w:r>
        <w:rPr>
          <w:rFonts w:cs="Verdana"/>
          <w:color w:val="000000"/>
          <w:szCs w:val="20"/>
        </w:rPr>
        <w:t>Eiropas Savienības Statistikas biroja (Eurostat)</w:t>
      </w:r>
      <w:r>
        <w:t xml:space="preserve"> datubāzēs dati par dabasgāzes vidējām cenām</w:t>
      </w:r>
      <w:r w:rsidRPr="008946E0">
        <w:rPr>
          <w:rFonts w:cs="Times New Roman"/>
        </w:rPr>
        <w:t xml:space="preserve"> :</w:t>
      </w:r>
    </w:p>
    <w:p w14:paraId="4DE2BEA7" w14:textId="4D841417" w:rsidR="008946E0" w:rsidRDefault="005E7679" w:rsidP="008946E0">
      <w:pPr>
        <w:pStyle w:val="Bezatstarpm"/>
        <w:numPr>
          <w:ilvl w:val="1"/>
          <w:numId w:val="47"/>
        </w:numPr>
        <w:rPr>
          <w:rFonts w:cs="Times New Roman"/>
          <w:szCs w:val="20"/>
        </w:rPr>
      </w:pPr>
      <w:hyperlink r:id="rId15" w:history="1">
        <w:r>
          <w:rPr>
            <w:rStyle w:val="Hipersaite"/>
            <w:rFonts w:cs="Times New Roman"/>
            <w:szCs w:val="20"/>
          </w:rPr>
          <w:t xml:space="preserve">Dabasgāzes vidējās cenas mājsaimniecībām </w:t>
        </w:r>
      </w:hyperlink>
    </w:p>
    <w:p w14:paraId="0EB8E5E9" w14:textId="7200B4B1" w:rsidR="008946E0" w:rsidRDefault="005E7679" w:rsidP="008946E0">
      <w:pPr>
        <w:pStyle w:val="Bezatstarpm"/>
        <w:numPr>
          <w:ilvl w:val="1"/>
          <w:numId w:val="47"/>
        </w:numPr>
        <w:rPr>
          <w:rFonts w:cs="Times New Roman"/>
          <w:szCs w:val="20"/>
        </w:rPr>
      </w:pPr>
      <w:hyperlink r:id="rId16" w:history="1">
        <w:r>
          <w:rPr>
            <w:rStyle w:val="Hipersaite"/>
            <w:rFonts w:cs="Times New Roman"/>
            <w:szCs w:val="20"/>
          </w:rPr>
          <w:t>Dabasgāzes vidējās cenas galalietotājiem, kas nav mājsaimniecības</w:t>
        </w:r>
      </w:hyperlink>
    </w:p>
    <w:p w14:paraId="46C4D164" w14:textId="1A9BB05C" w:rsidR="005472C0" w:rsidRPr="00C13E38" w:rsidRDefault="004D4ABE" w:rsidP="004652B7">
      <w:pPr>
        <w:pStyle w:val="Virsraksts1"/>
        <w:numPr>
          <w:ilvl w:val="0"/>
          <w:numId w:val="22"/>
        </w:numPr>
      </w:pPr>
      <w:bookmarkStart w:id="8" w:name="_Toc40698654"/>
      <w:bookmarkStart w:id="9" w:name="_Toc70071553"/>
      <w:r>
        <w:lastRenderedPageBreak/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8"/>
      <w:r>
        <w:t>?</w:t>
      </w:r>
      <w:bookmarkEnd w:id="9"/>
    </w:p>
    <w:p w14:paraId="3CB4F6A1" w14:textId="4515FBD7" w:rsidR="00381049" w:rsidRPr="00FB06BA" w:rsidRDefault="004C19EF" w:rsidP="00CF0D9F">
      <w:pPr>
        <w:pStyle w:val="Bezatstarpm"/>
        <w:rPr>
          <w:b/>
        </w:rPr>
      </w:pPr>
      <w:r>
        <w:t>Starptautiskā Enerģētikas aģentūra (</w:t>
      </w:r>
      <w:hyperlink r:id="rId17" w:history="1">
        <w:r>
          <w:rPr>
            <w:rStyle w:val="Hipersaite"/>
            <w:rFonts w:cs="Times New Roman"/>
            <w:bCs/>
            <w:szCs w:val="20"/>
          </w:rPr>
          <w:t>IEA</w:t>
        </w:r>
      </w:hyperlink>
      <w:r>
        <w:t>)</w:t>
      </w:r>
    </w:p>
    <w:p w14:paraId="78598D9A" w14:textId="574F8115" w:rsidR="00CB2A49" w:rsidRPr="00C13E38" w:rsidRDefault="004D4ABE" w:rsidP="00A513C7">
      <w:pPr>
        <w:pStyle w:val="Virsraksts1"/>
        <w:numPr>
          <w:ilvl w:val="0"/>
          <w:numId w:val="30"/>
        </w:numPr>
      </w:pPr>
      <w:bookmarkStart w:id="10" w:name="_Toc70071554"/>
      <w:r>
        <w:t>Vai Pārvalde ievēro d</w:t>
      </w:r>
      <w:r w:rsidR="00CB2A49" w:rsidRPr="00C13E38">
        <w:t>atu konfidencialitāt</w:t>
      </w:r>
      <w:r>
        <w:t>i?</w:t>
      </w:r>
      <w:bookmarkEnd w:id="10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Virsraksts1"/>
        <w:numPr>
          <w:ilvl w:val="0"/>
          <w:numId w:val="20"/>
        </w:numPr>
      </w:pPr>
      <w:bookmarkStart w:id="11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1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8" w:history="1">
        <w:r w:rsidR="00953091" w:rsidRPr="00CF6881">
          <w:rPr>
            <w:rStyle w:val="Hipersaite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19" w:history="1">
        <w:r w:rsidR="00266B52" w:rsidRPr="00F21D6D">
          <w:rPr>
            <w:rStyle w:val="Hipersaite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3A9CDE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884213509" o:spid="_x0000_i1025" type="#_x0000_t75" style="width:1in;height:70.8pt;visibility:visible;mso-wrap-style:square">
            <v:imagedata r:id="rId1" o:title=""/>
          </v:shape>
        </w:pict>
      </mc:Choice>
      <mc:Fallback>
        <w:drawing>
          <wp:inline distT="0" distB="0" distL="0" distR="0" wp14:anchorId="204FE91B">
            <wp:extent cx="914400" cy="899160"/>
            <wp:effectExtent l="0" t="0" r="0" b="0"/>
            <wp:docPr id="884213509" name="Attēls 88421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BA86DF0"/>
    <w:multiLevelType w:val="hybridMultilevel"/>
    <w:tmpl w:val="E1B23008"/>
    <w:lvl w:ilvl="0" w:tplc="B5367E1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EE93DD2"/>
    <w:multiLevelType w:val="hybridMultilevel"/>
    <w:tmpl w:val="E7B2463C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D4691D"/>
    <w:multiLevelType w:val="hybridMultilevel"/>
    <w:tmpl w:val="8C0AE4E2"/>
    <w:lvl w:ilvl="0" w:tplc="6592018C">
      <w:numFmt w:val="bullet"/>
      <w:lvlText w:val=""/>
      <w:lvlJc w:val="left"/>
      <w:pPr>
        <w:ind w:left="128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0273FB"/>
    <w:multiLevelType w:val="hybridMultilevel"/>
    <w:tmpl w:val="4EEAD12A"/>
    <w:lvl w:ilvl="0" w:tplc="ABC40006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AF7CF8"/>
    <w:multiLevelType w:val="hybridMultilevel"/>
    <w:tmpl w:val="C4989E34"/>
    <w:lvl w:ilvl="0" w:tplc="1EE80832">
      <w:numFmt w:val="bullet"/>
      <w:lvlText w:val=""/>
      <w:lvlJc w:val="left"/>
      <w:pPr>
        <w:ind w:left="19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20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1A81007"/>
    <w:multiLevelType w:val="hybridMultilevel"/>
    <w:tmpl w:val="FBBE3380"/>
    <w:lvl w:ilvl="0" w:tplc="36CA2F7E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6847888"/>
    <w:multiLevelType w:val="hybridMultilevel"/>
    <w:tmpl w:val="A89C1346"/>
    <w:lvl w:ilvl="0" w:tplc="E58E2534">
      <w:numFmt w:val="bullet"/>
      <w:pStyle w:val="Bezatstarpm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4E555C5C"/>
    <w:multiLevelType w:val="hybridMultilevel"/>
    <w:tmpl w:val="F95E3992"/>
    <w:lvl w:ilvl="0" w:tplc="FA4E3696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B4634"/>
    <w:multiLevelType w:val="hybridMultilevel"/>
    <w:tmpl w:val="F9804278"/>
    <w:lvl w:ilvl="0" w:tplc="ABC40006">
      <w:numFmt w:val="bullet"/>
      <w:lvlText w:val=""/>
      <w:lvlJc w:val="left"/>
      <w:pPr>
        <w:ind w:left="199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1" w15:restartNumberingAfterBreak="0">
    <w:nsid w:val="67A445DD"/>
    <w:multiLevelType w:val="hybridMultilevel"/>
    <w:tmpl w:val="DA1024AC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ABC40006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A341A2B"/>
    <w:multiLevelType w:val="hybridMultilevel"/>
    <w:tmpl w:val="D9F41AE0"/>
    <w:lvl w:ilvl="0" w:tplc="1EE80832">
      <w:numFmt w:val="bullet"/>
      <w:lvlText w:val=""/>
      <w:lvlJc w:val="left"/>
      <w:pPr>
        <w:ind w:left="19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3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2003BF"/>
    <w:multiLevelType w:val="hybridMultilevel"/>
    <w:tmpl w:val="EE3AD140"/>
    <w:lvl w:ilvl="0" w:tplc="356E06B4">
      <w:numFmt w:val="bullet"/>
      <w:pStyle w:val="Saturs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7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615255627">
    <w:abstractNumId w:val="18"/>
  </w:num>
  <w:num w:numId="2" w16cid:durableId="1448505607">
    <w:abstractNumId w:val="36"/>
  </w:num>
  <w:num w:numId="3" w16cid:durableId="1888836137">
    <w:abstractNumId w:val="24"/>
  </w:num>
  <w:num w:numId="4" w16cid:durableId="1628852534">
    <w:abstractNumId w:val="25"/>
  </w:num>
  <w:num w:numId="5" w16cid:durableId="520438949">
    <w:abstractNumId w:val="37"/>
  </w:num>
  <w:num w:numId="6" w16cid:durableId="1891070010">
    <w:abstractNumId w:val="35"/>
  </w:num>
  <w:num w:numId="7" w16cid:durableId="938176318">
    <w:abstractNumId w:val="18"/>
  </w:num>
  <w:num w:numId="8" w16cid:durableId="1390953368">
    <w:abstractNumId w:val="18"/>
  </w:num>
  <w:num w:numId="9" w16cid:durableId="734202217">
    <w:abstractNumId w:val="18"/>
  </w:num>
  <w:num w:numId="10" w16cid:durableId="1701663178">
    <w:abstractNumId w:val="18"/>
  </w:num>
  <w:num w:numId="11" w16cid:durableId="925071768">
    <w:abstractNumId w:val="0"/>
  </w:num>
  <w:num w:numId="12" w16cid:durableId="1683774300">
    <w:abstractNumId w:val="24"/>
  </w:num>
  <w:num w:numId="13" w16cid:durableId="1407145141">
    <w:abstractNumId w:val="11"/>
  </w:num>
  <w:num w:numId="14" w16cid:durableId="1407651346">
    <w:abstractNumId w:val="6"/>
  </w:num>
  <w:num w:numId="15" w16cid:durableId="2143494444">
    <w:abstractNumId w:val="21"/>
  </w:num>
  <w:num w:numId="16" w16cid:durableId="1609503089">
    <w:abstractNumId w:val="2"/>
  </w:num>
  <w:num w:numId="17" w16cid:durableId="1550074891">
    <w:abstractNumId w:val="25"/>
  </w:num>
  <w:num w:numId="18" w16cid:durableId="1377587391">
    <w:abstractNumId w:val="25"/>
  </w:num>
  <w:num w:numId="19" w16cid:durableId="1977908165">
    <w:abstractNumId w:val="9"/>
  </w:num>
  <w:num w:numId="20" w16cid:durableId="825586968">
    <w:abstractNumId w:val="38"/>
  </w:num>
  <w:num w:numId="21" w16cid:durableId="881407676">
    <w:abstractNumId w:val="10"/>
  </w:num>
  <w:num w:numId="22" w16cid:durableId="1535848045">
    <w:abstractNumId w:val="27"/>
  </w:num>
  <w:num w:numId="23" w16cid:durableId="1619028668">
    <w:abstractNumId w:val="3"/>
  </w:num>
  <w:num w:numId="24" w16cid:durableId="978148083">
    <w:abstractNumId w:val="8"/>
  </w:num>
  <w:num w:numId="25" w16cid:durableId="231428128">
    <w:abstractNumId w:val="1"/>
  </w:num>
  <w:num w:numId="26" w16cid:durableId="1998995480">
    <w:abstractNumId w:val="33"/>
  </w:num>
  <w:num w:numId="27" w16cid:durableId="1456144863">
    <w:abstractNumId w:val="20"/>
  </w:num>
  <w:num w:numId="28" w16cid:durableId="956528181">
    <w:abstractNumId w:val="7"/>
  </w:num>
  <w:num w:numId="29" w16cid:durableId="395706417">
    <w:abstractNumId w:val="17"/>
  </w:num>
  <w:num w:numId="30" w16cid:durableId="45105031">
    <w:abstractNumId w:val="28"/>
  </w:num>
  <w:num w:numId="31" w16cid:durableId="1372531058">
    <w:abstractNumId w:val="29"/>
  </w:num>
  <w:num w:numId="32" w16cid:durableId="1019116613">
    <w:abstractNumId w:val="14"/>
  </w:num>
  <w:num w:numId="33" w16cid:durableId="94441490">
    <w:abstractNumId w:val="34"/>
  </w:num>
  <w:num w:numId="34" w16cid:durableId="515384666">
    <w:abstractNumId w:val="23"/>
  </w:num>
  <w:num w:numId="35" w16cid:durableId="1634751682">
    <w:abstractNumId w:val="12"/>
  </w:num>
  <w:num w:numId="36" w16cid:durableId="273753728">
    <w:abstractNumId w:val="13"/>
  </w:num>
  <w:num w:numId="37" w16cid:durableId="1991207080">
    <w:abstractNumId w:val="15"/>
  </w:num>
  <w:num w:numId="38" w16cid:durableId="1990939768">
    <w:abstractNumId w:val="22"/>
  </w:num>
  <w:num w:numId="39" w16cid:durableId="1484734803">
    <w:abstractNumId w:val="4"/>
  </w:num>
  <w:num w:numId="40" w16cid:durableId="1564369630">
    <w:abstractNumId w:val="16"/>
  </w:num>
  <w:num w:numId="41" w16cid:durableId="1572739493">
    <w:abstractNumId w:val="26"/>
  </w:num>
  <w:num w:numId="42" w16cid:durableId="729498258">
    <w:abstractNumId w:val="32"/>
  </w:num>
  <w:num w:numId="43" w16cid:durableId="1618180098">
    <w:abstractNumId w:val="19"/>
  </w:num>
  <w:num w:numId="44" w16cid:durableId="1814523441">
    <w:abstractNumId w:val="16"/>
  </w:num>
  <w:num w:numId="45" w16cid:durableId="1299528129">
    <w:abstractNumId w:val="30"/>
  </w:num>
  <w:num w:numId="46" w16cid:durableId="1888031657">
    <w:abstractNumId w:val="31"/>
  </w:num>
  <w:num w:numId="47" w16cid:durableId="471976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45C6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40C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219C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91BBA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28DF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59DE"/>
    <w:rsid w:val="003931BD"/>
    <w:rsid w:val="00395236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9EF"/>
    <w:rsid w:val="004C1FD7"/>
    <w:rsid w:val="004C22BF"/>
    <w:rsid w:val="004C3406"/>
    <w:rsid w:val="004C43E9"/>
    <w:rsid w:val="004C4CDF"/>
    <w:rsid w:val="004D3C65"/>
    <w:rsid w:val="004D4ABE"/>
    <w:rsid w:val="004E294B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37B3"/>
    <w:rsid w:val="005E6C2A"/>
    <w:rsid w:val="005E7679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6F6792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46E0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F270E"/>
    <w:rsid w:val="008F7FBA"/>
    <w:rsid w:val="00913DAA"/>
    <w:rsid w:val="009143D9"/>
    <w:rsid w:val="00922D0E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06B0"/>
    <w:rsid w:val="009C30C0"/>
    <w:rsid w:val="009C31E0"/>
    <w:rsid w:val="009C3DD2"/>
    <w:rsid w:val="009D7063"/>
    <w:rsid w:val="009E389F"/>
    <w:rsid w:val="009E775F"/>
    <w:rsid w:val="009F4BA6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86F55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5242A"/>
    <w:rsid w:val="00C60FFE"/>
    <w:rsid w:val="00C6252D"/>
    <w:rsid w:val="00C631CF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0F02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A0FA1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3331E"/>
    <w:rsid w:val="00E43E30"/>
    <w:rsid w:val="00E47D56"/>
    <w:rsid w:val="00E50D40"/>
    <w:rsid w:val="00E62006"/>
    <w:rsid w:val="00E65AB5"/>
    <w:rsid w:val="00E67BC6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C6949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6B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6BF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6B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6BF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Parasts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Noklusjumarindkopasfonts"/>
    <w:link w:val="Mansstils"/>
    <w:rsid w:val="00381049"/>
    <w:rPr>
      <w:rFonts w:ascii="Verdana" w:hAnsi="Verdana"/>
      <w:b/>
      <w:sz w:val="20"/>
    </w:rPr>
  </w:style>
  <w:style w:type="paragraph" w:styleId="Prskatjums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879D5"/>
    <w:rPr>
      <w:b/>
      <w:bCs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0247ED"/>
    <w:pPr>
      <w:outlineLvl w:val="9"/>
    </w:pPr>
    <w:rPr>
      <w:lang w:val="en-US"/>
    </w:rPr>
  </w:style>
  <w:style w:type="paragraph" w:styleId="Saturs1">
    <w:name w:val="toc 1"/>
    <w:basedOn w:val="Parasts"/>
    <w:next w:val="Parasts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Saturs2">
    <w:name w:val="toc 2"/>
    <w:basedOn w:val="Parasts"/>
    <w:next w:val="Parasts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Saturs3">
    <w:name w:val="toc 3"/>
    <w:basedOn w:val="Parasts"/>
    <w:next w:val="Parasts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Bezatstarpm">
    <w:name w:val="No Spacing"/>
    <w:aliases w:val="3 cm atkape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6R1952&amp;qid=1621834398754" TargetMode="External"/><Relationship Id="rId13" Type="http://schemas.openxmlformats.org/officeDocument/2006/relationships/hyperlink" Target="https://data.stat.gov.lv/pxweb/lv/OSP_PUB/START__NOZ__EN__ENC/ENC020" TargetMode="External"/><Relationship Id="rId18" Type="http://schemas.openxmlformats.org/officeDocument/2006/relationships/hyperlink" Target="https://eur-lex.europa.eu/legal-content/LV/TXT/?uri=celex%3A32016R067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likumi.lv/ta/id/287576-oficialas-statistikas-veidlapu-paraugu-apstiprinasanas-un-veidlapu-aizpildisanas-un-iesniegsanas-noteikumi" TargetMode="External"/><Relationship Id="rId17" Type="http://schemas.openxmlformats.org/officeDocument/2006/relationships/hyperlink" Target="https://www.iea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.europa.eu/eurostat/databrowser/view/NRG_PC_203/default/table?lang=en&amp;category=nrg.nrg_price.nrg_p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hyperlink" Target="https://eur-lex.europa.eu/legal-content/LV/TXT/?uri=CELEX%3A32016R1952&amp;qid=16215949520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c.europa.eu/eurostat/databrowser/view/NRG_PC_202/default/table?lang=en&amp;category=nrg.nrg_price.nrg_pc" TargetMode="External"/><Relationship Id="rId10" Type="http://schemas.openxmlformats.org/officeDocument/2006/relationships/hyperlink" Target="https://www.csb.gov.lv/lv/statistika/statistikas-temas/vide-energetika/energetika/tabulas/%20/www.sprk.gov.lv" TargetMode="External"/><Relationship Id="rId19" Type="http://schemas.openxmlformats.org/officeDocument/2006/relationships/hyperlink" Target="https://www.csp.gov.lv/lv/informacijas-drosiba-un-datu-aizsardz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data.stat.gov.lv/pxweb/lv/OSP_PUB/START__NOZ__EN__ENC/ENC03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4179</Words>
  <Characters>2383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Ilva Graudina</cp:lastModifiedBy>
  <cp:revision>9</cp:revision>
  <cp:lastPrinted>2023-03-16T13:14:00Z</cp:lastPrinted>
  <dcterms:created xsi:type="dcterms:W3CDTF">2021-06-21T14:13:00Z</dcterms:created>
  <dcterms:modified xsi:type="dcterms:W3CDTF">2025-06-05T19:33:00Z</dcterms:modified>
</cp:coreProperties>
</file>