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245421DF" w:rsidR="0051672D" w:rsidRPr="00883277" w:rsidRDefault="005A613B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</w:t>
      </w:r>
      <w:r w:rsidR="00016417">
        <w:rPr>
          <w:rFonts w:cs="Open Sans"/>
          <w:sz w:val="26"/>
          <w:szCs w:val="26"/>
        </w:rPr>
        <w:t xml:space="preserve">Pārskats par </w:t>
      </w:r>
      <w:proofErr w:type="spellStart"/>
      <w:r w:rsidR="00016417">
        <w:rPr>
          <w:rFonts w:cs="Open Sans"/>
          <w:sz w:val="26"/>
          <w:szCs w:val="26"/>
        </w:rPr>
        <w:t>mikromobilitātes</w:t>
      </w:r>
      <w:proofErr w:type="spellEnd"/>
      <w:r w:rsidR="00016417">
        <w:rPr>
          <w:rFonts w:cs="Open Sans"/>
          <w:sz w:val="26"/>
          <w:szCs w:val="26"/>
        </w:rPr>
        <w:t xml:space="preserve"> infrastruktūru 2026. gadā </w:t>
      </w:r>
      <w:r>
        <w:rPr>
          <w:rFonts w:cs="Open Sans"/>
          <w:sz w:val="26"/>
          <w:szCs w:val="26"/>
        </w:rPr>
        <w:t>(1-</w:t>
      </w:r>
      <w:r w:rsidR="00016417">
        <w:rPr>
          <w:rFonts w:cs="Open Sans"/>
          <w:sz w:val="26"/>
          <w:szCs w:val="26"/>
        </w:rPr>
        <w:t>mikro</w:t>
      </w:r>
      <w:r w:rsidR="00FC3DE4">
        <w:rPr>
          <w:rFonts w:cs="Open Sans"/>
          <w:sz w:val="26"/>
          <w:szCs w:val="26"/>
        </w:rPr>
        <w:t>mobilitāte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0585671C" w:rsidR="009404C8" w:rsidRDefault="009404C8" w:rsidP="002021AB">
      <w:r w:rsidRPr="00BE6001">
        <w:t xml:space="preserve">Pārvalde lūdz iesniegt datus, lai nodrošinātu lietotāju vajadzības, kas definētas </w:t>
      </w:r>
      <w:hyperlink r:id="rId7" w:history="1">
        <w:r w:rsidR="00016417" w:rsidRPr="00BE6001">
          <w:rPr>
            <w:rFonts w:cs="Verdana"/>
            <w:color w:val="0000FF"/>
            <w:szCs w:val="20"/>
          </w:rPr>
          <w:t>Oficiālās statistikas programmas</w:t>
        </w:r>
      </w:hyperlink>
      <w:r w:rsidR="00016417" w:rsidRPr="00BE6001">
        <w:rPr>
          <w:color w:val="0000FF"/>
        </w:rPr>
        <w:t xml:space="preserve"> </w:t>
      </w:r>
      <w:r w:rsidRPr="00BE6001">
        <w:t xml:space="preserve">pielikuma </w:t>
      </w:r>
      <w:r w:rsidR="005A613B" w:rsidRPr="00BE6001">
        <w:rPr>
          <w:szCs w:val="20"/>
        </w:rPr>
        <w:t>2</w:t>
      </w:r>
      <w:r w:rsidR="003D4A86" w:rsidRPr="00BE6001">
        <w:rPr>
          <w:szCs w:val="20"/>
        </w:rPr>
        <w:t>4</w:t>
      </w:r>
      <w:r w:rsidR="005A613B" w:rsidRPr="00BE6001">
        <w:rPr>
          <w:szCs w:val="20"/>
        </w:rPr>
        <w:t>. punktā (</w:t>
      </w:r>
      <w:r w:rsidR="003D4A86" w:rsidRPr="00BE6001">
        <w:rPr>
          <w:szCs w:val="20"/>
        </w:rPr>
        <w:t>Transporta</w:t>
      </w:r>
      <w:r w:rsidR="005A613B" w:rsidRPr="00BE6001">
        <w:rPr>
          <w:szCs w:val="20"/>
        </w:rPr>
        <w:t xml:space="preserve"> statistika)</w:t>
      </w:r>
      <w:r w:rsidRPr="00BE6001">
        <w:t>.</w:t>
      </w:r>
      <w:r w:rsidR="00B165BE">
        <w:t xml:space="preserve"> </w:t>
      </w:r>
    </w:p>
    <w:p w14:paraId="31ABB859" w14:textId="677104F7" w:rsidR="000B566C" w:rsidRDefault="00BE296C" w:rsidP="002021AB">
      <w:r w:rsidRPr="00BE296C">
        <w:t xml:space="preserve">Latvijā līdz šim nav veikta visaptveroša </w:t>
      </w:r>
      <w:proofErr w:type="spellStart"/>
      <w:r w:rsidRPr="00BE296C">
        <w:t>mikromobilitātes</w:t>
      </w:r>
      <w:proofErr w:type="spellEnd"/>
      <w:r w:rsidRPr="00BE296C">
        <w:t xml:space="preserve"> infrastruktūras datu apkopošana. Tomēr, ņemot vērā ilgtspējīgas mobilitātes attīstības nozīmi, nepieciešamība pēc šādiem datiem kļūst arvien izteiktāka. </w:t>
      </w:r>
      <w:proofErr w:type="spellStart"/>
      <w:r w:rsidRPr="00BE296C">
        <w:t>Mikromobilitātes</w:t>
      </w:r>
      <w:proofErr w:type="spellEnd"/>
      <w:r w:rsidRPr="00BE296C">
        <w:t xml:space="preserve"> infrastruktūra ir būtisks elements gan Eiropas Zaļā kursa mērķu īstenošanā, gan arī Apvienoto Nāciju Organizācijas Ilgtspējīgas attīstības programmas 11. mērķa sasniegšanā, kas paredz veidot drošas, noturīgas un ilgtspējīgas pilsēt</w:t>
      </w:r>
      <w:r>
        <w:t>vide</w:t>
      </w:r>
      <w:r w:rsidRPr="00BE296C">
        <w:t>s un apdzīvotās vietas.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2B6265A3" w14:textId="1CE43E30" w:rsidR="00431A17" w:rsidRPr="006E0413" w:rsidRDefault="00016417" w:rsidP="005A613B">
      <w:pPr>
        <w:pStyle w:val="NoSpacing"/>
        <w:rPr>
          <w:rFonts w:cs="Times New Roman"/>
        </w:rPr>
      </w:pPr>
      <w:r>
        <w:rPr>
          <w:rFonts w:cs="Times New Roman"/>
        </w:rPr>
        <w:t xml:space="preserve">Eiropas Komisijas un Centrālās statistikas pārvaldes </w:t>
      </w:r>
      <w:proofErr w:type="spellStart"/>
      <w:r>
        <w:rPr>
          <w:rFonts w:cs="Times New Roman"/>
        </w:rPr>
        <w:t>granta</w:t>
      </w:r>
      <w:proofErr w:type="spellEnd"/>
      <w:r>
        <w:rPr>
          <w:rFonts w:cs="Times New Roman"/>
        </w:rPr>
        <w:t xml:space="preserve"> līgums Nr. 101213463–2024-LV-TRANSPORT-STATS-IBA, kas ilgs 30 mēnešu garumā.</w:t>
      </w:r>
    </w:p>
    <w:p w14:paraId="0EA759E9" w14:textId="0EA891C3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BE6001">
        <w:t>Pienākums iesniegt datus izriet no</w:t>
      </w:r>
      <w:r w:rsidR="008629E4" w:rsidRPr="00BE6001">
        <w:t xml:space="preserve"> </w:t>
      </w:r>
      <w:hyperlink r:id="rId8" w:anchor="p14" w:history="1">
        <w:r w:rsidRPr="00BE6001">
          <w:rPr>
            <w:rStyle w:val="Hyperlink"/>
            <w:rFonts w:cs="Times New Roman"/>
            <w:szCs w:val="20"/>
          </w:rPr>
          <w:t>Stat</w:t>
        </w:r>
        <w:r w:rsidR="00DC7EFA" w:rsidRPr="00BE6001">
          <w:rPr>
            <w:rStyle w:val="Hyperlink"/>
            <w:rFonts w:cs="Times New Roman"/>
            <w:szCs w:val="20"/>
          </w:rPr>
          <w:t>i</w:t>
        </w:r>
        <w:r w:rsidRPr="00BE6001">
          <w:rPr>
            <w:rStyle w:val="Hyperlink"/>
            <w:rFonts w:cs="Times New Roman"/>
            <w:szCs w:val="20"/>
          </w:rPr>
          <w:t>s</w:t>
        </w:r>
        <w:r w:rsidR="00DC7EFA" w:rsidRPr="00BE6001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BE6001">
        <w:rPr>
          <w:szCs w:val="20"/>
        </w:rPr>
        <w:t xml:space="preserve">, </w:t>
      </w:r>
      <w:r w:rsidR="00DC7EFA" w:rsidRPr="00BE6001">
        <w:t>kur</w:t>
      </w:r>
      <w:r w:rsidR="007F4F1D" w:rsidRPr="00BE6001">
        <w:t>ā</w:t>
      </w:r>
      <w:r w:rsidR="00DC7EFA" w:rsidRPr="00BE6001">
        <w:t xml:space="preserve"> noteikts, ka </w:t>
      </w:r>
      <w:r w:rsidR="00E015E5" w:rsidRPr="00BE6001">
        <w:t>Pārvaldei</w:t>
      </w:r>
      <w:r w:rsidR="009A5580" w:rsidRPr="00BE6001">
        <w:t xml:space="preserve"> </w:t>
      </w:r>
      <w:r w:rsidR="00DC7EFA" w:rsidRPr="00BE6001">
        <w:t>ir tiesības pieprasīt, lai respondents sagatavo un sniedz datus par statistisko vienību, arī ierobežotas pieejamības informāciju</w:t>
      </w:r>
      <w:r w:rsidR="00096571" w:rsidRPr="00BE6001">
        <w:t>, lai</w:t>
      </w:r>
      <w:r w:rsidR="00DC7EFA" w:rsidRPr="00BE6001">
        <w:t xml:space="preserve"> nodrošināt</w:t>
      </w:r>
      <w:r w:rsidR="00096571" w:rsidRPr="00BE6001">
        <w:t>u</w:t>
      </w:r>
      <w:r w:rsidR="00DC7EFA" w:rsidRPr="00BE6001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51C33DE9" w:rsidR="00381049" w:rsidRDefault="00016417" w:rsidP="00016417">
      <w:r>
        <w:t>A</w:t>
      </w:r>
      <w:r w:rsidR="005A613B" w:rsidRPr="006E0413">
        <w:t>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bookmarkStart w:id="6" w:name="_Hlk73548038"/>
      <w:r>
        <w:t>Kam ir jāiesniedz dati?</w:t>
      </w:r>
      <w:bookmarkEnd w:id="5"/>
    </w:p>
    <w:p w14:paraId="304E1E41" w14:textId="046D1BA8" w:rsidR="000E4909" w:rsidRDefault="009224FE" w:rsidP="005A613B">
      <w:r>
        <w:t>Aptaujā</w:t>
      </w:r>
      <w:r w:rsidR="005A613B">
        <w:t xml:space="preserve"> </w:t>
      </w:r>
      <w:r w:rsidR="00366FFD">
        <w:t>iekļaut</w:t>
      </w:r>
      <w:r w:rsidR="00016417">
        <w:t xml:space="preserve">as Latvijas </w:t>
      </w:r>
      <w:proofErr w:type="spellStart"/>
      <w:r w:rsidR="00016417">
        <w:t>valstpilsētu</w:t>
      </w:r>
      <w:proofErr w:type="spellEnd"/>
      <w:r w:rsidR="00016417">
        <w:t xml:space="preserve"> pašvaldības.</w:t>
      </w:r>
    </w:p>
    <w:p w14:paraId="17CF16DD" w14:textId="77777777" w:rsidR="002021AB" w:rsidRDefault="002021AB" w:rsidP="002021AB">
      <w:r w:rsidRPr="009E389F">
        <w:t xml:space="preserve">Izlases izveidošanas </w:t>
      </w:r>
      <w:r>
        <w:t>standarts</w:t>
      </w:r>
      <w:r w:rsidRPr="00185CBB">
        <w:t>:</w:t>
      </w:r>
    </w:p>
    <w:bookmarkStart w:id="7" w:name="_Hlk73700911"/>
    <w:p w14:paraId="711DAFB1" w14:textId="039D9E5A" w:rsidR="00431A17" w:rsidRDefault="00431A17" w:rsidP="00431A17">
      <w:pPr>
        <w:pStyle w:val="NoSpacing"/>
      </w:pPr>
      <w:r>
        <w:rPr>
          <w:lang w:eastAsia="lv-LV"/>
        </w:rPr>
        <w:fldChar w:fldCharType="begin"/>
      </w:r>
      <w:r>
        <w:rPr>
          <w:lang w:eastAsia="lv-LV"/>
        </w:rPr>
        <w:instrText xml:space="preserve"> HYPERLINK "https://likumi.lv/ta/id/287576-oficialas-statistikas-veidlapu-paraugu-apstiprinasanas-un-veidlapu-aizpildisanas-un-iesniegsanas-noteikumi" </w:instrText>
      </w:r>
      <w:r>
        <w:rPr>
          <w:lang w:eastAsia="lv-LV"/>
        </w:rPr>
      </w:r>
      <w:r>
        <w:rPr>
          <w:lang w:eastAsia="lv-LV"/>
        </w:rPr>
        <w:fldChar w:fldCharType="separate"/>
      </w:r>
      <w:r>
        <w:rPr>
          <w:rStyle w:val="Hyperlink"/>
        </w:rPr>
        <w:t>Ministru kabineta 2016. gada 20. decembra noteikumi Nr. 812</w:t>
      </w:r>
      <w:r>
        <w:rPr>
          <w:lang w:eastAsia="lv-LV"/>
        </w:rPr>
        <w:fldChar w:fldCharType="end"/>
      </w:r>
      <w:r>
        <w:t xml:space="preserve"> ”Oficiālās statistikas veidlapu paraugu apstiprināšanas un veidlapu aizpildīšanas un iesniegšanas noteikumi”</w:t>
      </w:r>
      <w:bookmarkEnd w:id="7"/>
      <w:r w:rsidR="001137F3">
        <w:t>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8" w:name="_Toc70071552"/>
      <w:bookmarkEnd w:id="6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8"/>
    </w:p>
    <w:bookmarkStart w:id="9" w:name="_Toc40698654"/>
    <w:p w14:paraId="1EE95299" w14:textId="0665EE6B" w:rsidR="005A613B" w:rsidRPr="00B7384C" w:rsidRDefault="00B7384C" w:rsidP="005A613B">
      <w:pPr>
        <w:pStyle w:val="NoSpacing"/>
        <w:rPr>
          <w:rStyle w:val="Hyperlink"/>
        </w:rPr>
      </w:pPr>
      <w:r>
        <w:fldChar w:fldCharType="begin"/>
      </w:r>
      <w:r w:rsidR="00016417">
        <w:instrText>HYPERLINK "https://stat.gov.lv/lv/statistikas-temas/noz/transports"</w:instrText>
      </w:r>
      <w:r>
        <w:fldChar w:fldCharType="separate"/>
      </w:r>
      <w:r w:rsidR="005A613B" w:rsidRPr="00B7384C">
        <w:rPr>
          <w:rStyle w:val="Hyperlink"/>
        </w:rPr>
        <w:t>Oficiālās statistikas portālā</w:t>
      </w:r>
    </w:p>
    <w:p w14:paraId="46C4D164" w14:textId="7D65F90D" w:rsidR="005472C0" w:rsidRPr="00C13E38" w:rsidRDefault="00B7384C" w:rsidP="00841272">
      <w:pPr>
        <w:pStyle w:val="NoSpacing"/>
        <w:numPr>
          <w:ilvl w:val="0"/>
          <w:numId w:val="22"/>
        </w:numPr>
      </w:pPr>
      <w:r>
        <w:fldChar w:fldCharType="end"/>
      </w:r>
      <w:bookmarkStart w:id="10" w:name="_Toc70071553"/>
      <w:r w:rsidR="004D4ABE"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9"/>
      <w:r w:rsidR="004D4ABE">
        <w:t>?</w:t>
      </w:r>
      <w:bookmarkEnd w:id="10"/>
    </w:p>
    <w:p w14:paraId="3974C50E" w14:textId="77777777" w:rsidR="00045F1F" w:rsidRPr="00045F1F" w:rsidRDefault="006E0413" w:rsidP="005A613B">
      <w:pPr>
        <w:pStyle w:val="NoSpacing"/>
      </w:pPr>
      <w:r>
        <w:rPr>
          <w:rFonts w:cs="Verdana"/>
          <w:color w:val="000000"/>
          <w:szCs w:val="20"/>
        </w:rPr>
        <w:t xml:space="preserve">Eiropas Savienības Statistikas </w:t>
      </w:r>
      <w:r w:rsidRPr="00016534">
        <w:rPr>
          <w:rFonts w:cs="Verdana"/>
          <w:color w:val="000000"/>
          <w:szCs w:val="20"/>
        </w:rPr>
        <w:t>birojs (</w:t>
      </w:r>
      <w:proofErr w:type="spellStart"/>
      <w:r w:rsidR="00431A17">
        <w:rPr>
          <w:rFonts w:cs="Verdana"/>
          <w:color w:val="000000"/>
          <w:szCs w:val="20"/>
        </w:rPr>
        <w:fldChar w:fldCharType="begin"/>
      </w:r>
      <w:r w:rsidR="00431A17">
        <w:rPr>
          <w:rFonts w:cs="Verdana"/>
          <w:color w:val="000000"/>
          <w:szCs w:val="20"/>
        </w:rPr>
        <w:instrText xml:space="preserve"> HYPERLINK "https://ec.europa.eu/eurostat" </w:instrText>
      </w:r>
      <w:r w:rsidR="00431A17">
        <w:rPr>
          <w:rFonts w:cs="Verdana"/>
          <w:color w:val="000000"/>
          <w:szCs w:val="20"/>
        </w:rPr>
      </w:r>
      <w:r w:rsidR="00431A17">
        <w:rPr>
          <w:rFonts w:cs="Verdana"/>
          <w:color w:val="000000"/>
          <w:szCs w:val="20"/>
        </w:rPr>
        <w:fldChar w:fldCharType="separate"/>
      </w:r>
      <w:r w:rsidRPr="00431A17">
        <w:rPr>
          <w:rStyle w:val="Hyperlink"/>
          <w:rFonts w:cs="Verdana"/>
          <w:szCs w:val="20"/>
        </w:rPr>
        <w:t>Eurostat</w:t>
      </w:r>
      <w:proofErr w:type="spellEnd"/>
      <w:r w:rsidR="00431A17">
        <w:rPr>
          <w:rFonts w:cs="Verdana"/>
          <w:color w:val="000000"/>
          <w:szCs w:val="20"/>
        </w:rPr>
        <w:fldChar w:fldCharType="end"/>
      </w:r>
      <w:r w:rsidRPr="00016534">
        <w:rPr>
          <w:rFonts w:cs="Verdana"/>
          <w:color w:val="000000"/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1" w:name="_Toc70071554"/>
      <w:r>
        <w:t>Vai Pārvalde ievēro d</w:t>
      </w:r>
      <w:r w:rsidR="00CB2A49" w:rsidRPr="00C13E38">
        <w:t>atu konfidencialitāt</w:t>
      </w:r>
      <w:r>
        <w:t>i?</w:t>
      </w:r>
      <w:bookmarkEnd w:id="11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2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2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9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</w:t>
      </w:r>
      <w:r w:rsidR="00953091" w:rsidRPr="00330A7E">
        <w:lastRenderedPageBreak/>
        <w:t>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2C44A2B6" w14:textId="644144D0" w:rsidR="00016417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r w:rsidR="00016417">
        <w:rPr>
          <w:rFonts w:cs="Times New Roman"/>
          <w:szCs w:val="20"/>
        </w:rPr>
        <w:t xml:space="preserve"> </w:t>
      </w:r>
      <w:bookmarkStart w:id="13" w:name="_Hlk207881166"/>
      <w:r w:rsidR="00016417">
        <w:fldChar w:fldCharType="begin"/>
      </w:r>
      <w:r w:rsidR="00016417">
        <w:instrText>HYPERLINK "https://www.csp.gov.lv/lv/biezak-uzdotie-jautajumi-par-personas-datu-apstradi"</w:instrText>
      </w:r>
      <w:r w:rsidR="00016417">
        <w:fldChar w:fldCharType="separate"/>
      </w:r>
      <w:r w:rsidR="00016417" w:rsidRPr="003A4E28">
        <w:rPr>
          <w:rStyle w:val="Hyperlink"/>
          <w:rFonts w:cs="Times New Roman"/>
          <w:szCs w:val="20"/>
        </w:rPr>
        <w:t>https://www.csp.gov.lv/lv/biezak-uzdotie-jautajumi-par-personas-datu-apstradi</w:t>
      </w:r>
      <w:r w:rsidR="00016417">
        <w:fldChar w:fldCharType="end"/>
      </w:r>
      <w:bookmarkEnd w:id="13"/>
      <w:r w:rsidR="00016417" w:rsidRPr="004B407B">
        <w:rPr>
          <w:rFonts w:cs="Times New Roman"/>
          <w:szCs w:val="20"/>
        </w:rPr>
        <w:t>.</w:t>
      </w:r>
    </w:p>
    <w:p w14:paraId="368EB830" w14:textId="77777777" w:rsidR="00016417" w:rsidRDefault="00016417" w:rsidP="00CF0D9F">
      <w:pPr>
        <w:rPr>
          <w:rFonts w:cs="Times New Roman"/>
          <w:szCs w:val="20"/>
        </w:rPr>
      </w:pPr>
    </w:p>
    <w:p w14:paraId="66F64BD1" w14:textId="77777777" w:rsidR="00016417" w:rsidRDefault="00016417" w:rsidP="00CF0D9F">
      <w:pPr>
        <w:rPr>
          <w:rFonts w:cs="Times New Roman"/>
          <w:szCs w:val="20"/>
        </w:rPr>
      </w:pPr>
    </w:p>
    <w:p w14:paraId="70603B09" w14:textId="19B7DEE2" w:rsidR="003931BD" w:rsidRPr="00C2402B" w:rsidRDefault="003931BD" w:rsidP="00CF0D9F">
      <w:pPr>
        <w:rPr>
          <w:rFonts w:cs="Times New Roman"/>
          <w:szCs w:val="20"/>
        </w:rPr>
      </w:pP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BA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in;height:70.75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BA070C5"/>
    <w:multiLevelType w:val="hybridMultilevel"/>
    <w:tmpl w:val="EB4684C6"/>
    <w:lvl w:ilvl="0" w:tplc="83D4DFA8">
      <w:numFmt w:val="bullet"/>
      <w:lvlText w:val=""/>
      <w:lvlJc w:val="left"/>
      <w:pPr>
        <w:ind w:left="206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8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50964791">
    <w:abstractNumId w:val="14"/>
  </w:num>
  <w:num w:numId="2" w16cid:durableId="1782526550">
    <w:abstractNumId w:val="27"/>
  </w:num>
  <w:num w:numId="3" w16cid:durableId="1198934072">
    <w:abstractNumId w:val="18"/>
  </w:num>
  <w:num w:numId="4" w16cid:durableId="199443672">
    <w:abstractNumId w:val="20"/>
  </w:num>
  <w:num w:numId="5" w16cid:durableId="847913644">
    <w:abstractNumId w:val="28"/>
  </w:num>
  <w:num w:numId="6" w16cid:durableId="1363556639">
    <w:abstractNumId w:val="26"/>
  </w:num>
  <w:num w:numId="7" w16cid:durableId="1324897036">
    <w:abstractNumId w:val="14"/>
  </w:num>
  <w:num w:numId="8" w16cid:durableId="1174806996">
    <w:abstractNumId w:val="14"/>
  </w:num>
  <w:num w:numId="9" w16cid:durableId="867252202">
    <w:abstractNumId w:val="14"/>
  </w:num>
  <w:num w:numId="10" w16cid:durableId="1582370333">
    <w:abstractNumId w:val="14"/>
  </w:num>
  <w:num w:numId="11" w16cid:durableId="124547680">
    <w:abstractNumId w:val="0"/>
  </w:num>
  <w:num w:numId="12" w16cid:durableId="1697122019">
    <w:abstractNumId w:val="18"/>
  </w:num>
  <w:num w:numId="13" w16cid:durableId="27800822">
    <w:abstractNumId w:val="9"/>
  </w:num>
  <w:num w:numId="14" w16cid:durableId="1770080202">
    <w:abstractNumId w:val="4"/>
  </w:num>
  <w:num w:numId="15" w16cid:durableId="1168641523">
    <w:abstractNumId w:val="16"/>
  </w:num>
  <w:num w:numId="16" w16cid:durableId="641542249">
    <w:abstractNumId w:val="2"/>
  </w:num>
  <w:num w:numId="17" w16cid:durableId="349913820">
    <w:abstractNumId w:val="20"/>
  </w:num>
  <w:num w:numId="18" w16cid:durableId="932587232">
    <w:abstractNumId w:val="20"/>
  </w:num>
  <w:num w:numId="19" w16cid:durableId="327825075">
    <w:abstractNumId w:val="7"/>
  </w:num>
  <w:num w:numId="20" w16cid:durableId="1006982171">
    <w:abstractNumId w:val="29"/>
  </w:num>
  <w:num w:numId="21" w16cid:durableId="1901286127">
    <w:abstractNumId w:val="8"/>
  </w:num>
  <w:num w:numId="22" w16cid:durableId="1529374973">
    <w:abstractNumId w:val="21"/>
  </w:num>
  <w:num w:numId="23" w16cid:durableId="1979918241">
    <w:abstractNumId w:val="3"/>
  </w:num>
  <w:num w:numId="24" w16cid:durableId="1041786446">
    <w:abstractNumId w:val="6"/>
  </w:num>
  <w:num w:numId="25" w16cid:durableId="712385374">
    <w:abstractNumId w:val="1"/>
  </w:num>
  <w:num w:numId="26" w16cid:durableId="774131919">
    <w:abstractNumId w:val="24"/>
  </w:num>
  <w:num w:numId="27" w16cid:durableId="1119378535">
    <w:abstractNumId w:val="15"/>
  </w:num>
  <w:num w:numId="28" w16cid:durableId="511147662">
    <w:abstractNumId w:val="5"/>
  </w:num>
  <w:num w:numId="29" w16cid:durableId="1132792193">
    <w:abstractNumId w:val="13"/>
  </w:num>
  <w:num w:numId="30" w16cid:durableId="2079089541">
    <w:abstractNumId w:val="22"/>
  </w:num>
  <w:num w:numId="31" w16cid:durableId="2121760698">
    <w:abstractNumId w:val="23"/>
  </w:num>
  <w:num w:numId="32" w16cid:durableId="317155351">
    <w:abstractNumId w:val="12"/>
  </w:num>
  <w:num w:numId="33" w16cid:durableId="1110469936">
    <w:abstractNumId w:val="25"/>
  </w:num>
  <w:num w:numId="34" w16cid:durableId="1968777025">
    <w:abstractNumId w:val="17"/>
  </w:num>
  <w:num w:numId="35" w16cid:durableId="1672172442">
    <w:abstractNumId w:val="10"/>
  </w:num>
  <w:num w:numId="36" w16cid:durableId="674723794">
    <w:abstractNumId w:val="11"/>
  </w:num>
  <w:num w:numId="37" w16cid:durableId="74371914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16417"/>
    <w:rsid w:val="00016534"/>
    <w:rsid w:val="000247ED"/>
    <w:rsid w:val="00033CDD"/>
    <w:rsid w:val="0004042E"/>
    <w:rsid w:val="00041F19"/>
    <w:rsid w:val="0004332C"/>
    <w:rsid w:val="00045F1F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B566C"/>
    <w:rsid w:val="000C752C"/>
    <w:rsid w:val="000D137C"/>
    <w:rsid w:val="000E418F"/>
    <w:rsid w:val="000E469E"/>
    <w:rsid w:val="000E4909"/>
    <w:rsid w:val="000F1F03"/>
    <w:rsid w:val="001050DA"/>
    <w:rsid w:val="001062E3"/>
    <w:rsid w:val="00113739"/>
    <w:rsid w:val="001137F3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972B3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021AB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29E9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21E"/>
    <w:rsid w:val="00326423"/>
    <w:rsid w:val="00330A7E"/>
    <w:rsid w:val="00330D4A"/>
    <w:rsid w:val="00336167"/>
    <w:rsid w:val="0034595C"/>
    <w:rsid w:val="003510A4"/>
    <w:rsid w:val="003577DD"/>
    <w:rsid w:val="00366FF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D4A86"/>
    <w:rsid w:val="003E60C7"/>
    <w:rsid w:val="003E711F"/>
    <w:rsid w:val="003F5577"/>
    <w:rsid w:val="004001D7"/>
    <w:rsid w:val="0040338F"/>
    <w:rsid w:val="00404BE4"/>
    <w:rsid w:val="00420AD1"/>
    <w:rsid w:val="00421416"/>
    <w:rsid w:val="00431A17"/>
    <w:rsid w:val="00436ACB"/>
    <w:rsid w:val="004441B2"/>
    <w:rsid w:val="00453416"/>
    <w:rsid w:val="0046398C"/>
    <w:rsid w:val="00464227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2AD"/>
    <w:rsid w:val="00591D58"/>
    <w:rsid w:val="005A613B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0413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36EE3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90B5B"/>
    <w:rsid w:val="007A0B59"/>
    <w:rsid w:val="007A4C8F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176B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4E75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E506E"/>
    <w:rsid w:val="008F270E"/>
    <w:rsid w:val="008F7FBA"/>
    <w:rsid w:val="009143D9"/>
    <w:rsid w:val="009224FE"/>
    <w:rsid w:val="0092464A"/>
    <w:rsid w:val="009404C8"/>
    <w:rsid w:val="009476EC"/>
    <w:rsid w:val="00950A1A"/>
    <w:rsid w:val="00953091"/>
    <w:rsid w:val="009610C6"/>
    <w:rsid w:val="00971BFE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1B2B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AF6288"/>
    <w:rsid w:val="00B04A04"/>
    <w:rsid w:val="00B04FAC"/>
    <w:rsid w:val="00B0713A"/>
    <w:rsid w:val="00B13EEC"/>
    <w:rsid w:val="00B15CAE"/>
    <w:rsid w:val="00B165BE"/>
    <w:rsid w:val="00B26993"/>
    <w:rsid w:val="00B27BDE"/>
    <w:rsid w:val="00B27CE8"/>
    <w:rsid w:val="00B32CD4"/>
    <w:rsid w:val="00B37FC4"/>
    <w:rsid w:val="00B403B4"/>
    <w:rsid w:val="00B41509"/>
    <w:rsid w:val="00B418DC"/>
    <w:rsid w:val="00B43338"/>
    <w:rsid w:val="00B46866"/>
    <w:rsid w:val="00B46F2F"/>
    <w:rsid w:val="00B51F02"/>
    <w:rsid w:val="00B551A7"/>
    <w:rsid w:val="00B67B3C"/>
    <w:rsid w:val="00B72140"/>
    <w:rsid w:val="00B7384C"/>
    <w:rsid w:val="00B75F87"/>
    <w:rsid w:val="00B83C0A"/>
    <w:rsid w:val="00B87EBF"/>
    <w:rsid w:val="00B90CD3"/>
    <w:rsid w:val="00B94884"/>
    <w:rsid w:val="00B96FA5"/>
    <w:rsid w:val="00B973C4"/>
    <w:rsid w:val="00BB01A1"/>
    <w:rsid w:val="00BB0260"/>
    <w:rsid w:val="00BB0A22"/>
    <w:rsid w:val="00BB0AD0"/>
    <w:rsid w:val="00BB0BE3"/>
    <w:rsid w:val="00BB1C60"/>
    <w:rsid w:val="00BB1DE0"/>
    <w:rsid w:val="00BB699F"/>
    <w:rsid w:val="00BC271B"/>
    <w:rsid w:val="00BC482E"/>
    <w:rsid w:val="00BD060F"/>
    <w:rsid w:val="00BE0533"/>
    <w:rsid w:val="00BE0F3C"/>
    <w:rsid w:val="00BE296C"/>
    <w:rsid w:val="00BE2A55"/>
    <w:rsid w:val="00BE6001"/>
    <w:rsid w:val="00BF42FC"/>
    <w:rsid w:val="00BF5F08"/>
    <w:rsid w:val="00BF799B"/>
    <w:rsid w:val="00C12CDF"/>
    <w:rsid w:val="00C13E38"/>
    <w:rsid w:val="00C170D3"/>
    <w:rsid w:val="00C215BF"/>
    <w:rsid w:val="00C23BFC"/>
    <w:rsid w:val="00C2402B"/>
    <w:rsid w:val="00C24C35"/>
    <w:rsid w:val="00C24CD3"/>
    <w:rsid w:val="00C3302B"/>
    <w:rsid w:val="00C33951"/>
    <w:rsid w:val="00C36966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B7B55"/>
    <w:rsid w:val="00CC5AA1"/>
    <w:rsid w:val="00CD6491"/>
    <w:rsid w:val="00CE3173"/>
    <w:rsid w:val="00CF0D9F"/>
    <w:rsid w:val="00CF6881"/>
    <w:rsid w:val="00D01CA9"/>
    <w:rsid w:val="00D0379C"/>
    <w:rsid w:val="00D048E5"/>
    <w:rsid w:val="00D122BE"/>
    <w:rsid w:val="00D20956"/>
    <w:rsid w:val="00D25CB9"/>
    <w:rsid w:val="00D43335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10E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3DE4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umi.lv/ta/id/357495-noteikumi-par-oficialas-statistikas-programmu-20252027gad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16R06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3243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Agnese Saltene</cp:lastModifiedBy>
  <cp:revision>8</cp:revision>
  <dcterms:created xsi:type="dcterms:W3CDTF">2021-07-29T07:44:00Z</dcterms:created>
  <dcterms:modified xsi:type="dcterms:W3CDTF">2025-09-04T10:21:00Z</dcterms:modified>
</cp:coreProperties>
</file>