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proofErr w:type="spellStart"/>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w:t>
      </w:r>
      <w:proofErr w:type="spellEnd"/>
      <w:r w:rsidR="004C0471" w:rsidRPr="00D449E3">
        <w:rPr>
          <w:rFonts w:cs="Open Sans"/>
          <w:b/>
          <w:bCs/>
          <w:color w:val="FFFFFF" w:themeColor="background1"/>
          <w:sz w:val="26"/>
          <w:szCs w:val="26"/>
        </w:rPr>
        <w:t xml:space="preserve">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70ED788D" w:rsidR="0051672D" w:rsidRPr="00883277" w:rsidRDefault="00F8475E" w:rsidP="008A257A">
      <w:pPr>
        <w:spacing w:after="120" w:line="240" w:lineRule="auto"/>
        <w:ind w:left="0"/>
        <w:rPr>
          <w:sz w:val="26"/>
          <w:szCs w:val="26"/>
        </w:rPr>
      </w:pPr>
      <w:r>
        <w:rPr>
          <w:rFonts w:cs="Open Sans"/>
          <w:sz w:val="26"/>
          <w:szCs w:val="26"/>
        </w:rPr>
        <w:t>“</w:t>
      </w:r>
      <w:proofErr w:type="spellStart"/>
      <w:r>
        <w:rPr>
          <w:rFonts w:cs="Open Sans"/>
          <w:sz w:val="26"/>
          <w:szCs w:val="26"/>
        </w:rPr>
        <w:t>Apsekojums</w:t>
      </w:r>
      <w:proofErr w:type="spellEnd"/>
      <w:r>
        <w:rPr>
          <w:rFonts w:cs="Open Sans"/>
          <w:sz w:val="26"/>
          <w:szCs w:val="26"/>
        </w:rPr>
        <w:t xml:space="preserve"> par energoresursu patēriņu mājsaimniecībās” (1-EPM</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3F403E6E" w:rsidR="009404C8" w:rsidRDefault="009404C8" w:rsidP="00214288">
      <w:r w:rsidRPr="009404C8">
        <w:t xml:space="preserve">Pārvalde lūdz iesniegt datus, lai nodrošinātu lietotāju vajadzības, kas definētas </w:t>
      </w:r>
      <w:hyperlink r:id="rId7" w:history="1">
        <w:r w:rsidRPr="00CF6881">
          <w:rPr>
            <w:rFonts w:cs="Verdana"/>
            <w:color w:val="0000FF"/>
            <w:szCs w:val="20"/>
          </w:rPr>
          <w:t>Oficiālās statist</w:t>
        </w:r>
        <w:r w:rsidRPr="00CF6881">
          <w:rPr>
            <w:rFonts w:cs="Verdana"/>
            <w:color w:val="0000FF"/>
            <w:szCs w:val="20"/>
          </w:rPr>
          <w:t>ikas programmas</w:t>
        </w:r>
      </w:hyperlink>
      <w:r w:rsidRPr="00CF6881">
        <w:rPr>
          <w:color w:val="0000FF"/>
        </w:rPr>
        <w:t xml:space="preserve"> </w:t>
      </w:r>
      <w:r w:rsidRPr="00CF6881">
        <w:t>pie</w:t>
      </w:r>
      <w:r w:rsidRPr="009404C8">
        <w:t>likuma</w:t>
      </w:r>
      <w:r w:rsidR="00F8475E">
        <w:t xml:space="preserve"> </w:t>
      </w:r>
      <w:r w:rsidR="00F8475E" w:rsidRPr="00A46D52">
        <w:rPr>
          <w:szCs w:val="20"/>
        </w:rPr>
        <w:t>20. punktā (Enerģētikas statistika</w:t>
      </w:r>
      <w:r w:rsidR="00F8475E" w:rsidRPr="00F8475E">
        <w:rPr>
          <w:szCs w:val="20"/>
        </w:rPr>
        <w:t>)</w:t>
      </w:r>
      <w:r w:rsidRPr="00F8475E">
        <w:t>.</w:t>
      </w:r>
    </w:p>
    <w:p w14:paraId="0BA27E14" w14:textId="3ECD48D1" w:rsidR="00F8475E" w:rsidRDefault="00010600" w:rsidP="00F8475E">
      <w:pPr>
        <w:rPr>
          <w:rFonts w:cs="Times New Roman"/>
          <w:bCs/>
          <w:color w:val="000000"/>
        </w:rPr>
      </w:pPr>
      <w:r>
        <w:rPr>
          <w:rFonts w:cs="Times New Roman"/>
          <w:bCs/>
          <w:color w:val="000000"/>
        </w:rPr>
        <w:t>Ikviena</w:t>
      </w:r>
      <w:r w:rsidR="00F8475E">
        <w:rPr>
          <w:rFonts w:cs="Times New Roman"/>
          <w:bCs/>
          <w:color w:val="000000"/>
        </w:rPr>
        <w:t xml:space="preserve"> sniegtie dati nepieciešami, lai iegūtu kvalitatīvu un starptautiski salīdzināmu informāciju par Latvijas mājsaimniecību enerģijas lietošanas paradumiem – energoresursu (dabasgāzes, elektroenerģijas, malkas u.c.) patēriņu, izmantotajiem </w:t>
      </w:r>
      <w:r w:rsidR="00740731">
        <w:rPr>
          <w:rFonts w:cs="Times New Roman"/>
          <w:bCs/>
          <w:color w:val="000000"/>
        </w:rPr>
        <w:t>apkures</w:t>
      </w:r>
      <w:r w:rsidR="00F8475E">
        <w:rPr>
          <w:rFonts w:cs="Times New Roman"/>
          <w:bCs/>
          <w:color w:val="000000"/>
        </w:rPr>
        <w:t xml:space="preserve"> risinājumiem, elektroierīcēm, transportlīdzekļiem un alternatīvajām </w:t>
      </w:r>
      <w:proofErr w:type="spellStart"/>
      <w:r w:rsidR="00F8475E">
        <w:rPr>
          <w:rFonts w:cs="Times New Roman"/>
          <w:bCs/>
          <w:color w:val="000000"/>
        </w:rPr>
        <w:t>energotehnoloģijām</w:t>
      </w:r>
      <w:proofErr w:type="spellEnd"/>
      <w:r w:rsidR="00F8475E">
        <w:rPr>
          <w:rFonts w:cs="Times New Roman"/>
          <w:bCs/>
          <w:color w:val="000000"/>
        </w:rPr>
        <w:t>, kā arī par izdevumiem, kas saistīti ar mājokļa energoapgādi.</w:t>
      </w:r>
    </w:p>
    <w:p w14:paraId="73CB70DF" w14:textId="77777777" w:rsidR="00F8475E" w:rsidRDefault="00F8475E" w:rsidP="00F8475E">
      <w:pPr>
        <w:rPr>
          <w:rFonts w:cs="Times New Roman"/>
          <w:bCs/>
          <w:color w:val="000000"/>
        </w:rPr>
      </w:pPr>
      <w:r>
        <w:rPr>
          <w:rFonts w:cs="Times New Roman"/>
          <w:bCs/>
          <w:color w:val="000000"/>
        </w:rPr>
        <w:t>Kopsavilkuma datus izmanto Latvijas valsts institūcijas, starptautiskās organizācijas un citi datu lietotāji:</w:t>
      </w:r>
    </w:p>
    <w:p w14:paraId="5EB61046" w14:textId="2735FC52" w:rsidR="00F8475E" w:rsidRDefault="00AB3780" w:rsidP="00F8475E">
      <w:pPr>
        <w:pStyle w:val="NoSpacing"/>
      </w:pPr>
      <w:r>
        <w:t>V</w:t>
      </w:r>
      <w:r w:rsidR="00F8475E">
        <w:t>ides aizsardzības un enerģētikas politikas plānošanai un izstrādei;</w:t>
      </w:r>
    </w:p>
    <w:p w14:paraId="099B319D" w14:textId="77777777" w:rsidR="00F8475E" w:rsidRDefault="00F8475E" w:rsidP="00F8475E">
      <w:pPr>
        <w:pStyle w:val="NoSpacing"/>
      </w:pPr>
      <w:r>
        <w:t xml:space="preserve">Latvijas </w:t>
      </w:r>
      <w:proofErr w:type="spellStart"/>
      <w:r>
        <w:t>energobilances</w:t>
      </w:r>
      <w:proofErr w:type="spellEnd"/>
      <w:r>
        <w:t xml:space="preserve"> izstrādei;</w:t>
      </w:r>
    </w:p>
    <w:p w14:paraId="21CB01E5" w14:textId="77777777" w:rsidR="00F8475E" w:rsidRDefault="00F8475E" w:rsidP="00F8475E">
      <w:pPr>
        <w:pStyle w:val="NoSpacing"/>
      </w:pPr>
      <w:r>
        <w:t>Latvijas siltumnīcefekta gāzu emisiju aprēķiniem;</w:t>
      </w:r>
    </w:p>
    <w:p w14:paraId="041467F7" w14:textId="53722CFE" w:rsidR="00F8475E" w:rsidRDefault="00AB3780" w:rsidP="00F8475E">
      <w:pPr>
        <w:pStyle w:val="NoSpacing"/>
      </w:pPr>
      <w:r>
        <w:rPr>
          <w:rFonts w:cs="Open Sans"/>
        </w:rPr>
        <w:t>V</w:t>
      </w:r>
      <w:r w:rsidR="00F8475E">
        <w:rPr>
          <w:rFonts w:cs="Open Sans"/>
        </w:rPr>
        <w:t>ides ekonomisko kontu izstrādei;</w:t>
      </w:r>
    </w:p>
    <w:p w14:paraId="72A32E49" w14:textId="2ED9F34B" w:rsidR="00381049" w:rsidRDefault="00AB3780" w:rsidP="00F8475E">
      <w:pPr>
        <w:pStyle w:val="NoSpacing"/>
        <w:rPr>
          <w:bCs/>
          <w:color w:val="000000"/>
        </w:rPr>
      </w:pPr>
      <w:r>
        <w:lastRenderedPageBreak/>
        <w:t>D</w:t>
      </w:r>
      <w:r w:rsidR="00F8475E">
        <w:t>ažādos pētījumos.</w:t>
      </w:r>
    </w:p>
    <w:p w14:paraId="41185709" w14:textId="56890C52" w:rsidR="00FB66EA" w:rsidRPr="00C13E38" w:rsidRDefault="008C258D" w:rsidP="004652B7">
      <w:pPr>
        <w:pStyle w:val="Heading1"/>
        <w:numPr>
          <w:ilvl w:val="0"/>
          <w:numId w:val="26"/>
        </w:numPr>
      </w:pPr>
      <w:bookmarkStart w:id="2" w:name="_Toc70071548"/>
      <w:r>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4E8E704E" w:rsidR="00FB66EA" w:rsidRPr="00F33D0A" w:rsidRDefault="00F34984" w:rsidP="004652B7">
      <w:r w:rsidRPr="00C13E38">
        <w:t>Oficiālo statistiku nodrošin</w:t>
      </w:r>
      <w:r w:rsidR="007B0817">
        <w:t>a</w:t>
      </w:r>
      <w:r w:rsidRPr="00C13E38">
        <w:t xml:space="preserve">, lai izpildītu šādus </w:t>
      </w:r>
      <w:r w:rsidR="00322F85" w:rsidRPr="00C13E38">
        <w:t>tiesību aktus:</w:t>
      </w:r>
    </w:p>
    <w:bookmarkStart w:id="3" w:name="_Hlk71359506"/>
    <w:bookmarkStart w:id="4" w:name="_Toc70071549"/>
    <w:p w14:paraId="5CC306F2" w14:textId="75C380EA" w:rsidR="00F8475E" w:rsidRDefault="00F8475E" w:rsidP="00F8475E">
      <w:pPr>
        <w:pStyle w:val="NoSpacing"/>
        <w:rPr>
          <w:rFonts w:cs="Times New Roman"/>
        </w:rPr>
      </w:pPr>
      <w:r>
        <w:fldChar w:fldCharType="begin"/>
      </w:r>
      <w:r>
        <w:instrText xml:space="preserve"> HYPERLINK "https://eur-lex.europa.eu/legal-content/LV/TXT/?uri=CELEX%3A32008R1099&amp;qid=1621832362702" </w:instrText>
      </w:r>
      <w:r>
        <w:fldChar w:fldCharType="separate"/>
      </w:r>
      <w:r w:rsidRPr="00F8475E">
        <w:rPr>
          <w:rStyle w:val="Hyperlink"/>
        </w:rPr>
        <w:t>Eiropas Parlamenta un Padomes 2008. gada 22. oktobra Regul</w:t>
      </w:r>
      <w:r w:rsidR="00D25F63">
        <w:rPr>
          <w:rStyle w:val="Hyperlink"/>
        </w:rPr>
        <w:t>u</w:t>
      </w:r>
      <w:r w:rsidRPr="00F8475E">
        <w:rPr>
          <w:rStyle w:val="Hyperlink"/>
        </w:rPr>
        <w:t xml:space="preserve"> (EK) Nr. 1099/2008</w:t>
      </w:r>
      <w:r>
        <w:fldChar w:fldCharType="end"/>
      </w:r>
      <w:r>
        <w:t xml:space="preserve"> par enerģētikas statistiku (Dokuments attiecas uz EEZ)</w:t>
      </w:r>
      <w:bookmarkEnd w:id="3"/>
      <w:r>
        <w:t>;</w:t>
      </w:r>
    </w:p>
    <w:p w14:paraId="40EE4F5A" w14:textId="6758F5A9" w:rsidR="00F8475E" w:rsidRDefault="005D7919" w:rsidP="00F8475E">
      <w:pPr>
        <w:pStyle w:val="NoSpacing"/>
        <w:rPr>
          <w:rStyle w:val="Hyperlink"/>
          <w:szCs w:val="20"/>
        </w:rPr>
      </w:pPr>
      <w:hyperlink r:id="rId8" w:history="1">
        <w:r w:rsidRPr="00F8475E">
          <w:rPr>
            <w:rStyle w:val="Hyperlink"/>
            <w:rFonts w:cs="Times New Roman"/>
            <w:szCs w:val="20"/>
          </w:rPr>
          <w:t>Komisijas 2014. gada 24. aprīļa Regul</w:t>
        </w:r>
        <w:r w:rsidR="00D25F63">
          <w:rPr>
            <w:rStyle w:val="Hyperlink"/>
            <w:rFonts w:cs="Times New Roman"/>
            <w:szCs w:val="20"/>
          </w:rPr>
          <w:t>u</w:t>
        </w:r>
        <w:r w:rsidRPr="00F8475E">
          <w:rPr>
            <w:rStyle w:val="Hyperlink"/>
            <w:rFonts w:cs="Times New Roman"/>
            <w:szCs w:val="20"/>
          </w:rPr>
          <w:t xml:space="preserve"> (ES) Nr. 431/2014</w:t>
        </w:r>
      </w:hyperlink>
      <w:r>
        <w:rPr>
          <w:rFonts w:cs="Times New Roman"/>
          <w:szCs w:val="20"/>
        </w:rPr>
        <w:t>,</w:t>
      </w:r>
      <w:r w:rsidRPr="00F8475E">
        <w:rPr>
          <w:rFonts w:cs="Times New Roman"/>
          <w:szCs w:val="20"/>
        </w:rPr>
        <w:t xml:space="preserve"> ar ko attiecībā uz ikgadējās statistikas īstenošanu par enerģijas patēriņu mājsaimniecībās groza Eiropas Parlamenta un Padomes Regulu (EK) Nr.</w:t>
      </w:r>
      <w:r>
        <w:rPr>
          <w:rFonts w:cs="Times New Roman"/>
          <w:szCs w:val="20"/>
        </w:rPr>
        <w:t> </w:t>
      </w:r>
      <w:r w:rsidRPr="00F8475E">
        <w:rPr>
          <w:rFonts w:cs="Times New Roman"/>
          <w:szCs w:val="20"/>
        </w:rPr>
        <w:t>1099/2008 par enerģētikas statistiku (Dokuments attiecas uz EEZ).</w:t>
      </w:r>
    </w:p>
    <w:p w14:paraId="0EA759E9" w14:textId="3399957D" w:rsidR="00E47D56" w:rsidRPr="00F37885" w:rsidRDefault="00E47D56" w:rsidP="00F8475E">
      <w:pPr>
        <w:pStyle w:val="Heading1"/>
        <w:numPr>
          <w:ilvl w:val="0"/>
          <w:numId w:val="29"/>
        </w:numPr>
      </w:pPr>
      <w:hyperlink r:id="rId9" w:history="1"/>
      <w:r w:rsidR="008C258D">
        <w:t>Kur ir noteikts p</w:t>
      </w:r>
      <w:r w:rsidRPr="00F37885">
        <w:t>ienākums iesniegt datus</w:t>
      </w:r>
      <w:r w:rsidR="008C258D">
        <w:t>?</w:t>
      </w:r>
      <w:bookmarkEnd w:id="4"/>
    </w:p>
    <w:p w14:paraId="2FE3EA63" w14:textId="0496D9F0" w:rsidR="00DC7EFA" w:rsidRPr="00C13E38" w:rsidRDefault="00E47D56" w:rsidP="00A513C7">
      <w:r w:rsidRPr="00C13E38">
        <w:t>Pienākums iesniegt datus izriet no</w:t>
      </w:r>
      <w:r w:rsidR="008629E4" w:rsidRPr="00C13E38">
        <w:t xml:space="preserve"> </w:t>
      </w:r>
      <w:hyperlink r:id="rId10"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6152F6" w:rsidRDefault="008C258D" w:rsidP="004652B7">
      <w:pPr>
        <w:pStyle w:val="Heading1"/>
        <w:numPr>
          <w:ilvl w:val="0"/>
          <w:numId w:val="25"/>
        </w:numPr>
      </w:pPr>
      <w:bookmarkStart w:id="5" w:name="_Toc70071550"/>
      <w:r w:rsidRPr="006152F6">
        <w:t>Vai Pārvalde izmanto a</w:t>
      </w:r>
      <w:r w:rsidR="00BB1C60" w:rsidRPr="006152F6">
        <w:t xml:space="preserve">dministratīvajos </w:t>
      </w:r>
      <w:r w:rsidR="00782003" w:rsidRPr="006152F6">
        <w:t xml:space="preserve">datu </w:t>
      </w:r>
      <w:r w:rsidR="004A598E" w:rsidRPr="006152F6">
        <w:t>avotos</w:t>
      </w:r>
      <w:r w:rsidR="00BB1C60" w:rsidRPr="006152F6">
        <w:t xml:space="preserve"> (piemēram, </w:t>
      </w:r>
      <w:r w:rsidR="00DC7EFA" w:rsidRPr="006152F6">
        <w:t>valsts reģistros</w:t>
      </w:r>
      <w:r w:rsidR="00BB1C60" w:rsidRPr="006152F6">
        <w:t>)</w:t>
      </w:r>
      <w:r w:rsidR="00DC7EFA" w:rsidRPr="006152F6">
        <w:t xml:space="preserve"> pieejam</w:t>
      </w:r>
      <w:r w:rsidRPr="006152F6">
        <w:t>o</w:t>
      </w:r>
      <w:r w:rsidR="00DC7EFA" w:rsidRPr="006152F6">
        <w:t xml:space="preserve"> informācij</w:t>
      </w:r>
      <w:r w:rsidRPr="006152F6">
        <w:t>u?</w:t>
      </w:r>
      <w:bookmarkEnd w:id="5"/>
    </w:p>
    <w:p w14:paraId="2A0C54CB" w14:textId="6C900354" w:rsidR="00F8475E" w:rsidRDefault="006152F6" w:rsidP="00F8475E">
      <w:r>
        <w:t>Administratīvo datu nav</w:t>
      </w:r>
      <w:r w:rsidR="00F8475E">
        <w:t>.</w:t>
      </w:r>
    </w:p>
    <w:p w14:paraId="1A0434E4" w14:textId="53D4B2A8" w:rsidR="00A51553" w:rsidRDefault="00A51553" w:rsidP="00F8475E">
      <w:bookmarkStart w:id="6" w:name="_Hlk73618753"/>
      <w:r>
        <w:t xml:space="preserve">Lai nodrošinātu telefoninterviju veikšanu, informāciju par respondenta vārdu un uzvārdu mēs iegūstam no Pilsonības un migrācijas lietu pārvaldes Iedzīvotāju reģistra saskaņā ar </w:t>
      </w:r>
      <w:hyperlink r:id="rId11" w:history="1">
        <w:r>
          <w:rPr>
            <w:rStyle w:val="Hyperlink"/>
          </w:rPr>
          <w:t>Statistikas likumu</w:t>
        </w:r>
      </w:hyperlink>
      <w:r>
        <w:t xml:space="preserve">, </w:t>
      </w:r>
      <w:bookmarkEnd w:id="6"/>
      <w:r w:rsidR="00C01219">
        <w:t xml:space="preserve">bet respondenta tālruņa numuru saņemam attiecīgā </w:t>
      </w:r>
      <w:proofErr w:type="spellStart"/>
      <w:r w:rsidR="00C01219">
        <w:t>apsekojuma</w:t>
      </w:r>
      <w:proofErr w:type="spellEnd"/>
      <w:r w:rsidR="00C01219">
        <w:t xml:space="preserve"> veikšanai no valsts iestādēm (Pilsonības un migrācijas lietu pārvaldes, Valsts ieņēmumu dienesta, Ceļu satiksmes drošības direkcijas, Nacionālā veselības dienesta) saskaņā ar </w:t>
      </w:r>
      <w:hyperlink r:id="rId12" w:history="1">
        <w:r w:rsidR="00C01219" w:rsidRPr="00C01219">
          <w:rPr>
            <w:rStyle w:val="Hyperlink"/>
            <w:rFonts w:cs="Verdana"/>
            <w:szCs w:val="20"/>
          </w:rPr>
          <w:t>Oficiālās statistikas programmu</w:t>
        </w:r>
      </w:hyperlink>
      <w:r w:rsidR="00C01219" w:rsidRPr="000D3BF1">
        <w:t xml:space="preserve">, </w:t>
      </w:r>
      <w:hyperlink r:id="rId13" w:history="1">
        <w:r w:rsidR="00C01219">
          <w:rPr>
            <w:rStyle w:val="Hyperlink"/>
          </w:rPr>
          <w:t>Statistikas likumu</w:t>
        </w:r>
      </w:hyperlink>
      <w:r w:rsidR="00C01219">
        <w:rPr>
          <w:rStyle w:val="Hyperlink"/>
        </w:rPr>
        <w:t xml:space="preserve"> </w:t>
      </w:r>
      <w:r w:rsidR="00C01219">
        <w:rPr>
          <w:color w:val="000000"/>
        </w:rPr>
        <w:t>un</w:t>
      </w:r>
      <w:r w:rsidR="00C01219">
        <w:t xml:space="preserve"> elektronisko sakaru komersantiem, kas nodrošina publiskā mobilo telefonu tīkla darbību, saskaņā ar </w:t>
      </w:r>
      <w:hyperlink r:id="rId14" w:history="1">
        <w:r w:rsidR="00C01219">
          <w:rPr>
            <w:rStyle w:val="Hyperlink"/>
          </w:rPr>
          <w:t>Elektronisko sakaru likumu</w:t>
        </w:r>
      </w:hyperlink>
      <w:r w:rsidR="00C01219">
        <w:t xml:space="preserve"> un </w:t>
      </w:r>
      <w:hyperlink r:id="rId15" w:history="1">
        <w:r w:rsidR="00C01219">
          <w:rPr>
            <w:rStyle w:val="Hyperlink"/>
          </w:rPr>
          <w:t>Statistikas likumu</w:t>
        </w:r>
      </w:hyperlink>
      <w:r w:rsidR="00C01219">
        <w:t>.</w:t>
      </w:r>
    </w:p>
    <w:p w14:paraId="1F5F0C07" w14:textId="211764FC" w:rsidR="004E42BB" w:rsidRPr="00C13E38" w:rsidRDefault="00D44A6F" w:rsidP="004652B7">
      <w:pPr>
        <w:pStyle w:val="Heading1"/>
        <w:numPr>
          <w:ilvl w:val="0"/>
          <w:numId w:val="24"/>
        </w:numPr>
      </w:pPr>
      <w:bookmarkStart w:id="7" w:name="_Toc70071551"/>
      <w:r>
        <w:t>Kam ir jāiesniedz dati?</w:t>
      </w:r>
      <w:bookmarkEnd w:id="7"/>
    </w:p>
    <w:p w14:paraId="24D44B8A" w14:textId="77777777" w:rsidR="00F8475E" w:rsidRDefault="00F8475E" w:rsidP="00F8475E">
      <w:proofErr w:type="spellStart"/>
      <w:r>
        <w:t>Apsekojums</w:t>
      </w:r>
      <w:proofErr w:type="spellEnd"/>
      <w:r>
        <w:t xml:space="preserve"> notiek reizi piecos gados un tā izlasē iekļauj 11 tūkstošus privātās mājsaimniecības, kurās aptaujā vienu personu vecumā no 15 gadiem. Mājsaimniecības tiek atlasītas no kopējā adrešu saraksta, izmantojot divpakāpju izlases dizainu.</w:t>
      </w:r>
    </w:p>
    <w:p w14:paraId="7F62C16C" w14:textId="77777777" w:rsidR="00F8475E" w:rsidRPr="00F8475E" w:rsidRDefault="00F8475E" w:rsidP="00F8475E">
      <w:pPr>
        <w:rPr>
          <w:rFonts w:cs="Times New Roman"/>
          <w:color w:val="000000"/>
          <w:szCs w:val="20"/>
        </w:rPr>
      </w:pPr>
      <w:r w:rsidRPr="00F8475E">
        <w:rPr>
          <w:rFonts w:cs="Times New Roman"/>
          <w:i/>
          <w:iCs/>
          <w:color w:val="000000"/>
          <w:szCs w:val="20"/>
        </w:rPr>
        <w:t>Pirmās pakāpes izlases dizains</w:t>
      </w:r>
      <w:r w:rsidRPr="00F8475E">
        <w:rPr>
          <w:rFonts w:cs="Times New Roman"/>
          <w:color w:val="000000"/>
          <w:szCs w:val="20"/>
        </w:rPr>
        <w:t xml:space="preserve"> ir stratificēta sistemātiska gadījuma izlase. Stratifikācijas mainīgais ir teritorijas tips: Rīga, pārējās republikas nozīmes pilsētas (neskaitot Rīgu), citas pilsētas un lauku teritorijas. Atlases vienība – teritorija.</w:t>
      </w:r>
    </w:p>
    <w:p w14:paraId="71539DD3" w14:textId="410AC1E0" w:rsidR="00D20956" w:rsidRDefault="00F8475E" w:rsidP="00F8475E">
      <w:pPr>
        <w:rPr>
          <w:rFonts w:cs="Times New Roman"/>
          <w:color w:val="000000"/>
          <w:szCs w:val="20"/>
        </w:rPr>
      </w:pPr>
      <w:r w:rsidRPr="00F8475E">
        <w:rPr>
          <w:rFonts w:cs="Times New Roman"/>
          <w:i/>
          <w:iCs/>
          <w:color w:val="000000"/>
          <w:szCs w:val="20"/>
        </w:rPr>
        <w:t>Otrās pakāpes izlases dizains</w:t>
      </w:r>
      <w:r w:rsidRPr="00F8475E">
        <w:rPr>
          <w:rFonts w:cs="Times New Roman"/>
          <w:color w:val="000000"/>
          <w:szCs w:val="20"/>
        </w:rPr>
        <w:t xml:space="preserve"> ir sistemātiskā vienkāršā gadījuma izlase. Atlases vienība - privātais mājoklis.</w:t>
      </w:r>
    </w:p>
    <w:p w14:paraId="04981BC6" w14:textId="77777777" w:rsidR="00375977" w:rsidRDefault="00375977">
      <w:pPr>
        <w:spacing w:before="0" w:after="160"/>
        <w:ind w:left="0"/>
        <w:jc w:val="left"/>
      </w:pPr>
      <w:r>
        <w:br w:type="page"/>
      </w:r>
    </w:p>
    <w:p w14:paraId="55F46404" w14:textId="4DDF24EB" w:rsidR="00A51553" w:rsidRDefault="00F33D0A" w:rsidP="005D7919">
      <w:r w:rsidRPr="009E389F">
        <w:lastRenderedPageBreak/>
        <w:t xml:space="preserve">Izlases izveidošanas </w:t>
      </w:r>
      <w:r>
        <w:t>standarts</w:t>
      </w:r>
      <w:r w:rsidRPr="009E389F">
        <w:t>:</w:t>
      </w:r>
    </w:p>
    <w:p w14:paraId="490B0D17" w14:textId="2D85C003" w:rsidR="003D3386" w:rsidRDefault="005D7919" w:rsidP="00A51553">
      <w:pPr>
        <w:pStyle w:val="NoSpacing"/>
      </w:pPr>
      <w:hyperlink r:id="rId16" w:history="1">
        <w:r w:rsidRPr="00F8475E">
          <w:rPr>
            <w:rStyle w:val="Hyperlink"/>
            <w:rFonts w:cs="Times New Roman"/>
            <w:szCs w:val="20"/>
          </w:rPr>
          <w:t>Komisijas 2014. gada 24. aprīļa Regula</w:t>
        </w:r>
        <w:r>
          <w:rPr>
            <w:rStyle w:val="Hyperlink"/>
            <w:rFonts w:cs="Times New Roman"/>
            <w:szCs w:val="20"/>
          </w:rPr>
          <w:t>s</w:t>
        </w:r>
        <w:r w:rsidRPr="00F8475E">
          <w:rPr>
            <w:rStyle w:val="Hyperlink"/>
            <w:rFonts w:cs="Times New Roman"/>
            <w:szCs w:val="20"/>
          </w:rPr>
          <w:t xml:space="preserve"> (ES) Nr.</w:t>
        </w:r>
        <w:r>
          <w:rPr>
            <w:rStyle w:val="Hyperlink"/>
            <w:rFonts w:cs="Times New Roman"/>
            <w:szCs w:val="20"/>
          </w:rPr>
          <w:t> </w:t>
        </w:r>
        <w:r w:rsidRPr="00F8475E">
          <w:rPr>
            <w:rStyle w:val="Hyperlink"/>
            <w:rFonts w:cs="Times New Roman"/>
            <w:szCs w:val="20"/>
          </w:rPr>
          <w:t>431/2014</w:t>
        </w:r>
      </w:hyperlink>
      <w:r>
        <w:t>,</w:t>
      </w:r>
      <w:r w:rsidRPr="00F8475E">
        <w:t xml:space="preserve"> ar ko attiecībā uz ikgadējās statistikas īstenošanu par enerģijas patēriņu mājsaimniecībās groza Eiropas Parlamenta un Padomes Regulu (EK) Nr.</w:t>
      </w:r>
      <w:r>
        <w:t> </w:t>
      </w:r>
      <w:r w:rsidRPr="00F8475E">
        <w:t>1099/2008 par enerģētikas statistiku (Dokuments attiecas uz EEZ)</w:t>
      </w:r>
      <w:r>
        <w:t xml:space="preserve"> pielikums</w:t>
      </w:r>
      <w:r w:rsidR="00AD6639">
        <w:t>;</w:t>
      </w:r>
    </w:p>
    <w:p w14:paraId="06919AE4" w14:textId="34F0AC67" w:rsidR="00A51553" w:rsidRPr="00C13E38" w:rsidRDefault="005C61B6" w:rsidP="00A51553">
      <w:pPr>
        <w:pStyle w:val="NoSpacing"/>
      </w:pPr>
      <w:hyperlink r:id="rId17" w:history="1">
        <w:r w:rsidRPr="00DA4633">
          <w:rPr>
            <w:rStyle w:val="Hyperlink"/>
          </w:rPr>
          <w:t>Ministru kabineta 2016. gada 20. decembra noteikumi Nr. 812</w:t>
        </w:r>
      </w:hyperlink>
      <w:r w:rsidRPr="00DA4633">
        <w:t xml:space="preserve"> ”</w:t>
      </w:r>
      <w:r w:rsidRPr="00A611D9">
        <w:t>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8" w:name="_Toc70071552"/>
      <w:r>
        <w:t>Kur publicē o</w:t>
      </w:r>
      <w:r w:rsidR="004E42BB" w:rsidRPr="00C13E38">
        <w:t>ficiāl</w:t>
      </w:r>
      <w:r>
        <w:t>o</w:t>
      </w:r>
      <w:r w:rsidR="004E42BB" w:rsidRPr="00C13E38">
        <w:t xml:space="preserve"> statisti</w:t>
      </w:r>
      <w:r>
        <w:t>ku?</w:t>
      </w:r>
      <w:bookmarkEnd w:id="8"/>
    </w:p>
    <w:bookmarkStart w:id="9" w:name="_Toc40698654"/>
    <w:p w14:paraId="103E789F" w14:textId="07869A07" w:rsidR="00F8475E" w:rsidRPr="00F8475E" w:rsidRDefault="00F8475E" w:rsidP="00F8475E">
      <w:pPr>
        <w:pStyle w:val="NoSpacing"/>
        <w:rPr>
          <w:rStyle w:val="Hyperlink"/>
          <w:color w:val="auto"/>
        </w:rPr>
      </w:pPr>
      <w:r>
        <w:fldChar w:fldCharType="begin"/>
      </w:r>
      <w:r>
        <w:instrText xml:space="preserve"> HYPERLINK "https://data.stat.gov.lv/pxweb/lv/OSP_OD/OSP_OD__apsekojumi__energ_pat/?tablelist=true" </w:instrText>
      </w:r>
      <w:r>
        <w:fldChar w:fldCharType="separate"/>
      </w:r>
      <w:r w:rsidRPr="00F8475E">
        <w:rPr>
          <w:rStyle w:val="Hyperlink"/>
        </w:rPr>
        <w:t>Oficiālās statistikas portālā</w:t>
      </w:r>
      <w:r>
        <w:fldChar w:fldCharType="end"/>
      </w:r>
    </w:p>
    <w:p w14:paraId="47A62289" w14:textId="404B40E7" w:rsidR="00F8475E" w:rsidRPr="00F8475E" w:rsidRDefault="00F8475E" w:rsidP="00F8475E">
      <w:pPr>
        <w:pStyle w:val="NoSpacing"/>
        <w:rPr>
          <w:rStyle w:val="Hyperlink"/>
          <w:color w:val="auto"/>
        </w:rPr>
      </w:pPr>
      <w:r>
        <w:rPr>
          <w:rFonts w:cs="Verdana"/>
          <w:color w:val="000000"/>
          <w:szCs w:val="20"/>
        </w:rPr>
        <w:t>Eiropas Savienības Statistikas biroja (</w:t>
      </w:r>
      <w:proofErr w:type="spellStart"/>
      <w:r>
        <w:rPr>
          <w:rFonts w:cs="Verdana"/>
          <w:color w:val="000000"/>
          <w:szCs w:val="20"/>
        </w:rPr>
        <w:t>Eurostat</w:t>
      </w:r>
      <w:proofErr w:type="spellEnd"/>
      <w:r>
        <w:rPr>
          <w:rFonts w:cs="Verdana"/>
          <w:color w:val="000000"/>
          <w:szCs w:val="20"/>
        </w:rPr>
        <w:t>)</w:t>
      </w:r>
      <w:r w:rsidRPr="00F8475E">
        <w:t xml:space="preserve"> </w:t>
      </w:r>
      <w:hyperlink r:id="rId18" w:history="1">
        <w:r w:rsidRPr="00F8475E">
          <w:rPr>
            <w:rStyle w:val="Hyperlink"/>
          </w:rPr>
          <w:t>datubāzēs</w:t>
        </w:r>
      </w:hyperlink>
    </w:p>
    <w:p w14:paraId="46C4D164" w14:textId="1A9BB05C" w:rsidR="005472C0" w:rsidRPr="00C13E38" w:rsidRDefault="004D4ABE" w:rsidP="004652B7">
      <w:pPr>
        <w:pStyle w:val="Heading1"/>
        <w:numPr>
          <w:ilvl w:val="0"/>
          <w:numId w:val="22"/>
        </w:numPr>
      </w:pPr>
      <w:bookmarkStart w:id="10"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9"/>
      <w:r>
        <w:t>?</w:t>
      </w:r>
      <w:bookmarkEnd w:id="10"/>
    </w:p>
    <w:p w14:paraId="4E6C926E" w14:textId="6A0C8165" w:rsidR="001944FE" w:rsidRPr="00CF0C86" w:rsidRDefault="001944FE" w:rsidP="001944FE">
      <w:pPr>
        <w:pStyle w:val="NoSpacing"/>
        <w:rPr>
          <w:bCs/>
          <w:color w:val="000000" w:themeColor="text1"/>
          <w:szCs w:val="20"/>
          <w:u w:val="single"/>
        </w:rPr>
      </w:pPr>
      <w:r w:rsidRPr="001944FE">
        <w:rPr>
          <w:rStyle w:val="Hyperlink"/>
          <w:bCs/>
          <w:color w:val="000000" w:themeColor="text1"/>
          <w:szCs w:val="20"/>
        </w:rPr>
        <w:t xml:space="preserve">Ekonomikas ministrija: </w:t>
      </w:r>
      <w:r w:rsidRPr="001944FE">
        <w:rPr>
          <w:rFonts w:cs="Open Sans"/>
          <w:bCs/>
          <w:szCs w:val="20"/>
        </w:rPr>
        <w:t>Nacionālais enerģētikas un klimata plāns (</w:t>
      </w:r>
      <w:hyperlink r:id="rId19" w:history="1">
        <w:r w:rsidRPr="001944FE">
          <w:rPr>
            <w:rStyle w:val="Hyperlink"/>
            <w:rFonts w:cs="Open Sans"/>
            <w:bCs/>
            <w:szCs w:val="20"/>
          </w:rPr>
          <w:t>NEKP</w:t>
        </w:r>
      </w:hyperlink>
      <w:r w:rsidRPr="001944FE">
        <w:rPr>
          <w:rFonts w:cs="Open Sans"/>
          <w:bCs/>
          <w:szCs w:val="20"/>
        </w:rPr>
        <w:t>)</w:t>
      </w:r>
    </w:p>
    <w:p w14:paraId="310151C9" w14:textId="530ACDB4" w:rsidR="00CF0C86" w:rsidRPr="001944FE" w:rsidRDefault="00CF0C86" w:rsidP="001944FE">
      <w:pPr>
        <w:pStyle w:val="NoSpacing"/>
        <w:rPr>
          <w:bCs/>
          <w:color w:val="000000" w:themeColor="text1"/>
          <w:szCs w:val="20"/>
          <w:u w:val="single"/>
        </w:rPr>
      </w:pPr>
      <w:r>
        <w:rPr>
          <w:rStyle w:val="Hyperlink"/>
          <w:rFonts w:cs="Open Sans"/>
          <w:bCs/>
          <w:color w:val="auto"/>
          <w:szCs w:val="20"/>
        </w:rPr>
        <w:t>Klimata un enerģētikas ministrija: (</w:t>
      </w:r>
      <w:hyperlink r:id="rId20" w:history="1">
        <w:r w:rsidRPr="007E20A3">
          <w:rPr>
            <w:rStyle w:val="Hyperlink"/>
            <w:rFonts w:cs="Open Sans"/>
            <w:bCs/>
            <w:szCs w:val="20"/>
          </w:rPr>
          <w:t>KEM</w:t>
        </w:r>
      </w:hyperlink>
      <w:r>
        <w:rPr>
          <w:rStyle w:val="Hyperlink"/>
          <w:rFonts w:cs="Open Sans"/>
          <w:bCs/>
          <w:color w:val="auto"/>
          <w:szCs w:val="20"/>
        </w:rPr>
        <w:t>)</w:t>
      </w:r>
    </w:p>
    <w:p w14:paraId="363A73BC" w14:textId="2F42F2E8" w:rsidR="001944FE" w:rsidRPr="001944FE" w:rsidRDefault="001944FE" w:rsidP="001944FE">
      <w:pPr>
        <w:pStyle w:val="NoSpacing"/>
        <w:rPr>
          <w:rStyle w:val="Hyperlink"/>
          <w:bCs/>
        </w:rPr>
      </w:pPr>
      <w:bookmarkStart w:id="11" w:name="_Hlk207981529"/>
      <w:r w:rsidRPr="001944FE">
        <w:rPr>
          <w:rFonts w:cs="Open Sans"/>
          <w:bCs/>
          <w:szCs w:val="20"/>
        </w:rPr>
        <w:t xml:space="preserve">Latvijas Vides, ģeoloģijas un meteoroloģijas centrs: </w:t>
      </w:r>
      <w:hyperlink r:id="rId21" w:history="1">
        <w:r w:rsidRPr="001944FE">
          <w:rPr>
            <w:rStyle w:val="Hyperlink"/>
            <w:rFonts w:cs="Open Sans"/>
            <w:bCs/>
            <w:szCs w:val="20"/>
          </w:rPr>
          <w:t>Ikgadējā siltumnīcefekta gāzu inventarizācija</w:t>
        </w:r>
      </w:hyperlink>
    </w:p>
    <w:bookmarkEnd w:id="11"/>
    <w:p w14:paraId="7B76B634" w14:textId="37DEB6E5" w:rsidR="001944FE" w:rsidRPr="001944FE" w:rsidRDefault="001944FE" w:rsidP="001944FE">
      <w:pPr>
        <w:pStyle w:val="NoSpacing"/>
        <w:rPr>
          <w:bCs/>
        </w:rPr>
      </w:pPr>
      <w:r w:rsidRPr="001944FE">
        <w:rPr>
          <w:rFonts w:cs="Open Sans"/>
          <w:bCs/>
          <w:color w:val="000000"/>
          <w:szCs w:val="20"/>
        </w:rPr>
        <w:t>Starptautiskā Enerģētikas aģentūra</w:t>
      </w:r>
      <w:r w:rsidRPr="001944FE">
        <w:rPr>
          <w:bCs/>
        </w:rPr>
        <w:t xml:space="preserve"> (</w:t>
      </w:r>
      <w:hyperlink r:id="rId22" w:history="1">
        <w:r w:rsidRPr="001944FE">
          <w:rPr>
            <w:rStyle w:val="Hyperlink"/>
            <w:rFonts w:cs="Open Sans"/>
            <w:bCs/>
            <w:szCs w:val="20"/>
          </w:rPr>
          <w:t>IEA</w:t>
        </w:r>
      </w:hyperlink>
      <w:r w:rsidRPr="001944FE">
        <w:rPr>
          <w:rStyle w:val="Hyperlink"/>
          <w:rFonts w:cs="Open Sans"/>
          <w:bCs/>
          <w:color w:val="auto"/>
          <w:szCs w:val="20"/>
        </w:rPr>
        <w:t>)</w:t>
      </w:r>
    </w:p>
    <w:p w14:paraId="1438F0F7" w14:textId="77777777" w:rsidR="001944FE" w:rsidRPr="001944FE" w:rsidRDefault="001944FE" w:rsidP="001944FE">
      <w:pPr>
        <w:pStyle w:val="NoSpacing"/>
        <w:rPr>
          <w:rFonts w:cs="Open Sans"/>
          <w:bCs/>
          <w:szCs w:val="20"/>
          <w:u w:val="single"/>
        </w:rPr>
      </w:pPr>
      <w:r w:rsidRPr="001944FE">
        <w:rPr>
          <w:rFonts w:cs="Open Sans"/>
          <w:bCs/>
          <w:color w:val="000000"/>
          <w:szCs w:val="20"/>
        </w:rPr>
        <w:t>Starptautiskā Atjaunojamo energoresursu aģentūra</w:t>
      </w:r>
      <w:r w:rsidRPr="001944FE">
        <w:rPr>
          <w:bCs/>
        </w:rPr>
        <w:t xml:space="preserve"> (</w:t>
      </w:r>
      <w:hyperlink r:id="rId23" w:history="1">
        <w:r w:rsidRPr="001944FE">
          <w:rPr>
            <w:rStyle w:val="Hyperlink"/>
            <w:rFonts w:cs="Open Sans"/>
            <w:bCs/>
            <w:szCs w:val="20"/>
          </w:rPr>
          <w:t>IRENA</w:t>
        </w:r>
      </w:hyperlink>
      <w:r w:rsidRPr="001944FE">
        <w:rPr>
          <w:rFonts w:cs="Open Sans"/>
          <w:bCs/>
          <w:color w:val="000000"/>
          <w:szCs w:val="20"/>
        </w:rPr>
        <w:t>)</w:t>
      </w:r>
    </w:p>
    <w:p w14:paraId="78598D9A" w14:textId="574F8115"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24"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2E610EEF"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r w:rsidR="00CF0C86" w:rsidRPr="00CF0C86">
        <w:rPr>
          <w:rFonts w:cs="Times New Roman"/>
          <w:szCs w:val="20"/>
        </w:rPr>
        <w:t xml:space="preserve"> </w:t>
      </w:r>
      <w:hyperlink r:id="rId25" w:history="1">
        <w:r w:rsidR="00CF0C86" w:rsidRPr="007219D8">
          <w:rPr>
            <w:rStyle w:val="Hyperlink"/>
            <w:rFonts w:cs="Times New Roman"/>
            <w:szCs w:val="20"/>
          </w:rPr>
          <w:t>https://www.csp.gov.lv/lv/biezak-uzdotie-jautajumi-par-personas-datu-apstradi</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in;height:71.1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15022134"/>
    <w:multiLevelType w:val="hybridMultilevel"/>
    <w:tmpl w:val="DA581506"/>
    <w:lvl w:ilvl="0" w:tplc="F63AAAA6">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5"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7"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8"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9"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BA070C5"/>
    <w:multiLevelType w:val="hybridMultilevel"/>
    <w:tmpl w:val="EB4684C6"/>
    <w:lvl w:ilvl="0" w:tplc="83D4DFA8">
      <w:numFmt w:val="bullet"/>
      <w:lvlText w:val=""/>
      <w:lvlJc w:val="left"/>
      <w:pPr>
        <w:ind w:left="206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21"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3"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1A4739"/>
    <w:multiLevelType w:val="hybridMultilevel"/>
    <w:tmpl w:val="14E2940A"/>
    <w:lvl w:ilvl="0" w:tplc="2736C71C">
      <w:numFmt w:val="bullet"/>
      <w:lvlText w:val=""/>
      <w:lvlJc w:val="left"/>
      <w:pPr>
        <w:ind w:left="2061"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6"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0"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1"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2059934485">
    <w:abstractNumId w:val="15"/>
  </w:num>
  <w:num w:numId="2" w16cid:durableId="1744791371">
    <w:abstractNumId w:val="29"/>
  </w:num>
  <w:num w:numId="3" w16cid:durableId="56780356">
    <w:abstractNumId w:val="19"/>
  </w:num>
  <w:num w:numId="4" w16cid:durableId="1194344109">
    <w:abstractNumId w:val="21"/>
  </w:num>
  <w:num w:numId="5" w16cid:durableId="479461571">
    <w:abstractNumId w:val="30"/>
  </w:num>
  <w:num w:numId="6" w16cid:durableId="1637291724">
    <w:abstractNumId w:val="28"/>
  </w:num>
  <w:num w:numId="7" w16cid:durableId="195461086">
    <w:abstractNumId w:val="15"/>
  </w:num>
  <w:num w:numId="8" w16cid:durableId="1035427346">
    <w:abstractNumId w:val="15"/>
  </w:num>
  <w:num w:numId="9" w16cid:durableId="1856190053">
    <w:abstractNumId w:val="15"/>
  </w:num>
  <w:num w:numId="10" w16cid:durableId="769081468">
    <w:abstractNumId w:val="15"/>
  </w:num>
  <w:num w:numId="11" w16cid:durableId="836651065">
    <w:abstractNumId w:val="0"/>
  </w:num>
  <w:num w:numId="12" w16cid:durableId="1616518719">
    <w:abstractNumId w:val="19"/>
  </w:num>
  <w:num w:numId="13" w16cid:durableId="876431497">
    <w:abstractNumId w:val="10"/>
  </w:num>
  <w:num w:numId="14" w16cid:durableId="1786273125">
    <w:abstractNumId w:val="5"/>
  </w:num>
  <w:num w:numId="15" w16cid:durableId="1331710828">
    <w:abstractNumId w:val="17"/>
  </w:num>
  <w:num w:numId="16" w16cid:durableId="731585726">
    <w:abstractNumId w:val="2"/>
  </w:num>
  <w:num w:numId="17" w16cid:durableId="618877055">
    <w:abstractNumId w:val="21"/>
  </w:num>
  <w:num w:numId="18" w16cid:durableId="429159365">
    <w:abstractNumId w:val="21"/>
  </w:num>
  <w:num w:numId="19" w16cid:durableId="2000115831">
    <w:abstractNumId w:val="8"/>
  </w:num>
  <w:num w:numId="20" w16cid:durableId="1512453454">
    <w:abstractNumId w:val="31"/>
  </w:num>
  <w:num w:numId="21" w16cid:durableId="1646082940">
    <w:abstractNumId w:val="9"/>
  </w:num>
  <w:num w:numId="22" w16cid:durableId="1318725832">
    <w:abstractNumId w:val="22"/>
  </w:num>
  <w:num w:numId="23" w16cid:durableId="361172072">
    <w:abstractNumId w:val="3"/>
  </w:num>
  <w:num w:numId="24" w16cid:durableId="479885807">
    <w:abstractNumId w:val="7"/>
  </w:num>
  <w:num w:numId="25" w16cid:durableId="1538734101">
    <w:abstractNumId w:val="1"/>
  </w:num>
  <w:num w:numId="26" w16cid:durableId="1770348675">
    <w:abstractNumId w:val="26"/>
  </w:num>
  <w:num w:numId="27" w16cid:durableId="1740588415">
    <w:abstractNumId w:val="16"/>
  </w:num>
  <w:num w:numId="28" w16cid:durableId="1611276146">
    <w:abstractNumId w:val="6"/>
  </w:num>
  <w:num w:numId="29" w16cid:durableId="468281964">
    <w:abstractNumId w:val="14"/>
  </w:num>
  <w:num w:numId="30" w16cid:durableId="813065025">
    <w:abstractNumId w:val="23"/>
  </w:num>
  <w:num w:numId="31" w16cid:durableId="1525705696">
    <w:abstractNumId w:val="24"/>
  </w:num>
  <w:num w:numId="32" w16cid:durableId="478110192">
    <w:abstractNumId w:val="13"/>
  </w:num>
  <w:num w:numId="33" w16cid:durableId="1750542131">
    <w:abstractNumId w:val="27"/>
  </w:num>
  <w:num w:numId="34" w16cid:durableId="2070616421">
    <w:abstractNumId w:val="18"/>
  </w:num>
  <w:num w:numId="35" w16cid:durableId="484391703">
    <w:abstractNumId w:val="11"/>
  </w:num>
  <w:num w:numId="36" w16cid:durableId="1834418232">
    <w:abstractNumId w:val="12"/>
  </w:num>
  <w:num w:numId="37" w16cid:durableId="844058457">
    <w:abstractNumId w:val="4"/>
  </w:num>
  <w:num w:numId="38" w16cid:durableId="1537766036">
    <w:abstractNumId w:val="20"/>
  </w:num>
  <w:num w:numId="39" w16cid:durableId="134832648">
    <w:abstractNumId w:val="25"/>
  </w:num>
  <w:num w:numId="40" w16cid:durableId="132246497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0600"/>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3F91"/>
    <w:rsid w:val="00147A15"/>
    <w:rsid w:val="00152858"/>
    <w:rsid w:val="001547A6"/>
    <w:rsid w:val="00156802"/>
    <w:rsid w:val="00162140"/>
    <w:rsid w:val="0017189E"/>
    <w:rsid w:val="0017793C"/>
    <w:rsid w:val="00183189"/>
    <w:rsid w:val="00185C8C"/>
    <w:rsid w:val="001944FE"/>
    <w:rsid w:val="001A109C"/>
    <w:rsid w:val="001A224E"/>
    <w:rsid w:val="001A2590"/>
    <w:rsid w:val="001A688F"/>
    <w:rsid w:val="001C14E6"/>
    <w:rsid w:val="001C16C9"/>
    <w:rsid w:val="001D0325"/>
    <w:rsid w:val="001D5F49"/>
    <w:rsid w:val="001E7D4C"/>
    <w:rsid w:val="001F09D2"/>
    <w:rsid w:val="001F18B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3100"/>
    <w:rsid w:val="002B6B78"/>
    <w:rsid w:val="002C0D91"/>
    <w:rsid w:val="002C73C5"/>
    <w:rsid w:val="002E7D10"/>
    <w:rsid w:val="002F7746"/>
    <w:rsid w:val="003049C3"/>
    <w:rsid w:val="00311772"/>
    <w:rsid w:val="003135C1"/>
    <w:rsid w:val="00322F85"/>
    <w:rsid w:val="00326423"/>
    <w:rsid w:val="00330A7E"/>
    <w:rsid w:val="00330D4A"/>
    <w:rsid w:val="00336167"/>
    <w:rsid w:val="0034595C"/>
    <w:rsid w:val="003510A4"/>
    <w:rsid w:val="003577DD"/>
    <w:rsid w:val="00371166"/>
    <w:rsid w:val="00375977"/>
    <w:rsid w:val="00380079"/>
    <w:rsid w:val="00381049"/>
    <w:rsid w:val="00381997"/>
    <w:rsid w:val="003859DE"/>
    <w:rsid w:val="003931BD"/>
    <w:rsid w:val="003A051D"/>
    <w:rsid w:val="003B371D"/>
    <w:rsid w:val="003B67AC"/>
    <w:rsid w:val="003C75AA"/>
    <w:rsid w:val="003D3386"/>
    <w:rsid w:val="003D3C83"/>
    <w:rsid w:val="003D4A22"/>
    <w:rsid w:val="003D7EE6"/>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42128"/>
    <w:rsid w:val="005472C0"/>
    <w:rsid w:val="00565652"/>
    <w:rsid w:val="00566B7F"/>
    <w:rsid w:val="0056798C"/>
    <w:rsid w:val="005747A7"/>
    <w:rsid w:val="005758AC"/>
    <w:rsid w:val="00582496"/>
    <w:rsid w:val="00591D58"/>
    <w:rsid w:val="005B0CCD"/>
    <w:rsid w:val="005B2510"/>
    <w:rsid w:val="005B71B4"/>
    <w:rsid w:val="005C2867"/>
    <w:rsid w:val="005C34C4"/>
    <w:rsid w:val="005C61B6"/>
    <w:rsid w:val="005C7232"/>
    <w:rsid w:val="005D5B45"/>
    <w:rsid w:val="005D7919"/>
    <w:rsid w:val="005E19EE"/>
    <w:rsid w:val="005E6C2A"/>
    <w:rsid w:val="005F59DA"/>
    <w:rsid w:val="00614F40"/>
    <w:rsid w:val="006152F6"/>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0731"/>
    <w:rsid w:val="00745BA5"/>
    <w:rsid w:val="00745FF1"/>
    <w:rsid w:val="0074728D"/>
    <w:rsid w:val="00753B61"/>
    <w:rsid w:val="007548D2"/>
    <w:rsid w:val="00755138"/>
    <w:rsid w:val="00760DD3"/>
    <w:rsid w:val="00761FB3"/>
    <w:rsid w:val="00782003"/>
    <w:rsid w:val="00782ACA"/>
    <w:rsid w:val="007835ED"/>
    <w:rsid w:val="0078581C"/>
    <w:rsid w:val="007A0B59"/>
    <w:rsid w:val="007A7B79"/>
    <w:rsid w:val="007B0817"/>
    <w:rsid w:val="007D0A4D"/>
    <w:rsid w:val="007D427A"/>
    <w:rsid w:val="007D471B"/>
    <w:rsid w:val="007F2BE7"/>
    <w:rsid w:val="007F4F1D"/>
    <w:rsid w:val="0080224A"/>
    <w:rsid w:val="00805374"/>
    <w:rsid w:val="00813119"/>
    <w:rsid w:val="0082482C"/>
    <w:rsid w:val="00824B4C"/>
    <w:rsid w:val="00830A20"/>
    <w:rsid w:val="00835677"/>
    <w:rsid w:val="0084776C"/>
    <w:rsid w:val="008550CE"/>
    <w:rsid w:val="008628D7"/>
    <w:rsid w:val="008629E4"/>
    <w:rsid w:val="00863698"/>
    <w:rsid w:val="008646CB"/>
    <w:rsid w:val="00864916"/>
    <w:rsid w:val="00870D6F"/>
    <w:rsid w:val="00870E86"/>
    <w:rsid w:val="00883277"/>
    <w:rsid w:val="008871FC"/>
    <w:rsid w:val="008879B4"/>
    <w:rsid w:val="00887C10"/>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9F44A8"/>
    <w:rsid w:val="00A00EEF"/>
    <w:rsid w:val="00A23131"/>
    <w:rsid w:val="00A308B3"/>
    <w:rsid w:val="00A33DCE"/>
    <w:rsid w:val="00A513C7"/>
    <w:rsid w:val="00A51553"/>
    <w:rsid w:val="00A57C84"/>
    <w:rsid w:val="00A62EB8"/>
    <w:rsid w:val="00A6736D"/>
    <w:rsid w:val="00A75066"/>
    <w:rsid w:val="00A83AF9"/>
    <w:rsid w:val="00A90B25"/>
    <w:rsid w:val="00AA6B60"/>
    <w:rsid w:val="00AB0A66"/>
    <w:rsid w:val="00AB14D9"/>
    <w:rsid w:val="00AB33A4"/>
    <w:rsid w:val="00AB3780"/>
    <w:rsid w:val="00AB5DB2"/>
    <w:rsid w:val="00AB7715"/>
    <w:rsid w:val="00AC4DAF"/>
    <w:rsid w:val="00AC7271"/>
    <w:rsid w:val="00AD6639"/>
    <w:rsid w:val="00AE0942"/>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278"/>
    <w:rsid w:val="00BE0533"/>
    <w:rsid w:val="00BE0F3C"/>
    <w:rsid w:val="00BE2A55"/>
    <w:rsid w:val="00BF42FC"/>
    <w:rsid w:val="00BF5F08"/>
    <w:rsid w:val="00BF799B"/>
    <w:rsid w:val="00C01219"/>
    <w:rsid w:val="00C12CDF"/>
    <w:rsid w:val="00C13E38"/>
    <w:rsid w:val="00C215BF"/>
    <w:rsid w:val="00C2402B"/>
    <w:rsid w:val="00C24C35"/>
    <w:rsid w:val="00C24CD3"/>
    <w:rsid w:val="00C33951"/>
    <w:rsid w:val="00C375F6"/>
    <w:rsid w:val="00C4010E"/>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F0C86"/>
    <w:rsid w:val="00CF0D9F"/>
    <w:rsid w:val="00CF6881"/>
    <w:rsid w:val="00D01CA9"/>
    <w:rsid w:val="00D0379C"/>
    <w:rsid w:val="00D048E5"/>
    <w:rsid w:val="00D122BE"/>
    <w:rsid w:val="00D12D74"/>
    <w:rsid w:val="00D20956"/>
    <w:rsid w:val="00D25CB9"/>
    <w:rsid w:val="00D25F63"/>
    <w:rsid w:val="00D436B2"/>
    <w:rsid w:val="00D44222"/>
    <w:rsid w:val="00D44509"/>
    <w:rsid w:val="00D449E3"/>
    <w:rsid w:val="00D44A6F"/>
    <w:rsid w:val="00D51E2B"/>
    <w:rsid w:val="00D61F78"/>
    <w:rsid w:val="00D6740E"/>
    <w:rsid w:val="00D71877"/>
    <w:rsid w:val="00D74120"/>
    <w:rsid w:val="00D74445"/>
    <w:rsid w:val="00D75373"/>
    <w:rsid w:val="00D75784"/>
    <w:rsid w:val="00D7703F"/>
    <w:rsid w:val="00DA4633"/>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343C1"/>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21A3"/>
    <w:rsid w:val="00EC3C96"/>
    <w:rsid w:val="00EC3CE4"/>
    <w:rsid w:val="00F03204"/>
    <w:rsid w:val="00F07747"/>
    <w:rsid w:val="00F07BA1"/>
    <w:rsid w:val="00F12A5E"/>
    <w:rsid w:val="00F2551E"/>
    <w:rsid w:val="00F25C60"/>
    <w:rsid w:val="00F33D0A"/>
    <w:rsid w:val="00F34984"/>
    <w:rsid w:val="00F37885"/>
    <w:rsid w:val="00F4236B"/>
    <w:rsid w:val="00F561D5"/>
    <w:rsid w:val="00F56992"/>
    <w:rsid w:val="00F6610E"/>
    <w:rsid w:val="00F66271"/>
    <w:rsid w:val="00F677A4"/>
    <w:rsid w:val="00F738A0"/>
    <w:rsid w:val="00F74097"/>
    <w:rsid w:val="00F8232F"/>
    <w:rsid w:val="00F83D57"/>
    <w:rsid w:val="00F8475E"/>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52694">
      <w:bodyDiv w:val="1"/>
      <w:marLeft w:val="0"/>
      <w:marRight w:val="0"/>
      <w:marTop w:val="0"/>
      <w:marBottom w:val="0"/>
      <w:divBdr>
        <w:top w:val="none" w:sz="0" w:space="0" w:color="auto"/>
        <w:left w:val="none" w:sz="0" w:space="0" w:color="auto"/>
        <w:bottom w:val="none" w:sz="0" w:space="0" w:color="auto"/>
        <w:right w:val="none" w:sz="0" w:space="0" w:color="auto"/>
      </w:divBdr>
    </w:div>
    <w:div w:id="560024192">
      <w:bodyDiv w:val="1"/>
      <w:marLeft w:val="0"/>
      <w:marRight w:val="0"/>
      <w:marTop w:val="0"/>
      <w:marBottom w:val="0"/>
      <w:divBdr>
        <w:top w:val="none" w:sz="0" w:space="0" w:color="auto"/>
        <w:left w:val="none" w:sz="0" w:space="0" w:color="auto"/>
        <w:bottom w:val="none" w:sz="0" w:space="0" w:color="auto"/>
        <w:right w:val="none" w:sz="0" w:space="0" w:color="auto"/>
      </w:divBdr>
    </w:div>
    <w:div w:id="561792922">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005590571">
      <w:bodyDiv w:val="1"/>
      <w:marLeft w:val="0"/>
      <w:marRight w:val="0"/>
      <w:marTop w:val="0"/>
      <w:marBottom w:val="0"/>
      <w:divBdr>
        <w:top w:val="none" w:sz="0" w:space="0" w:color="auto"/>
        <w:left w:val="none" w:sz="0" w:space="0" w:color="auto"/>
        <w:bottom w:val="none" w:sz="0" w:space="0" w:color="auto"/>
        <w:right w:val="none" w:sz="0" w:space="0" w:color="auto"/>
      </w:divBdr>
    </w:div>
    <w:div w:id="1131560593">
      <w:bodyDiv w:val="1"/>
      <w:marLeft w:val="0"/>
      <w:marRight w:val="0"/>
      <w:marTop w:val="0"/>
      <w:marBottom w:val="0"/>
      <w:divBdr>
        <w:top w:val="none" w:sz="0" w:space="0" w:color="auto"/>
        <w:left w:val="none" w:sz="0" w:space="0" w:color="auto"/>
        <w:bottom w:val="none" w:sz="0" w:space="0" w:color="auto"/>
        <w:right w:val="none" w:sz="0" w:space="0" w:color="auto"/>
      </w:divBdr>
    </w:div>
    <w:div w:id="1411275288">
      <w:bodyDiv w:val="1"/>
      <w:marLeft w:val="0"/>
      <w:marRight w:val="0"/>
      <w:marTop w:val="0"/>
      <w:marBottom w:val="0"/>
      <w:divBdr>
        <w:top w:val="none" w:sz="0" w:space="0" w:color="auto"/>
        <w:left w:val="none" w:sz="0" w:space="0" w:color="auto"/>
        <w:bottom w:val="none" w:sz="0" w:space="0" w:color="auto"/>
        <w:right w:val="none" w:sz="0" w:space="0" w:color="auto"/>
      </w:divBdr>
    </w:div>
    <w:div w:id="16642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reg/2014/431/oj/?locale=LV" TargetMode="External"/><Relationship Id="rId13" Type="http://schemas.openxmlformats.org/officeDocument/2006/relationships/hyperlink" Target="https://likumi.lv/ta/id/274749" TargetMode="External"/><Relationship Id="rId18" Type="http://schemas.openxmlformats.org/officeDocument/2006/relationships/hyperlink" Target="https://ec.europa.eu/eurostat/statistics-explained/index.php/Energy_consumption_in_household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idescentrs.lvgmc.lv/lapas/zinojums-par-klimatu" TargetMode="External"/><Relationship Id="rId7" Type="http://schemas.openxmlformats.org/officeDocument/2006/relationships/hyperlink" Target="https://likumi.lv/ta/id/357495-noteikumi-par-oficialas-statistikas-programmu-20252027gadam" TargetMode="External"/><Relationship Id="rId12" Type="http://schemas.openxmlformats.org/officeDocument/2006/relationships/hyperlink" Target="https://likumi.lv/ta/id/357495-noteikumi-par-oficialas-statistikas-programmu-20252027gadam" TargetMode="External"/><Relationship Id="rId17" Type="http://schemas.openxmlformats.org/officeDocument/2006/relationships/hyperlink" Target="https://likumi.lv/ta/id/287576-oficialas-statistikas-veidlapu-paraugu-apstiprinasanas-un-veidlapu-aizpildisanas-un-iesniegsanas-noteikumi" TargetMode="External"/><Relationship Id="rId25" Type="http://schemas.openxmlformats.org/officeDocument/2006/relationships/hyperlink" Target="https://www.csp.gov.lv/lv/biezak-uzdotie-jautajumi-par-personas-datu-apstradi" TargetMode="External"/><Relationship Id="rId2" Type="http://schemas.openxmlformats.org/officeDocument/2006/relationships/numbering" Target="numbering.xml"/><Relationship Id="rId16" Type="http://schemas.openxmlformats.org/officeDocument/2006/relationships/hyperlink" Target="https://eur-lex.europa.eu/eli/reg/2014/431/oj/?locale=LV" TargetMode="External"/><Relationship Id="rId20" Type="http://schemas.openxmlformats.org/officeDocument/2006/relationships/hyperlink" Target="https://www.kem.gov.lv/lv/darbibas-jomas"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74749" TargetMode="External"/><Relationship Id="rId24" Type="http://schemas.openxmlformats.org/officeDocument/2006/relationships/hyperlink" Target="https://eur-lex.europa.eu/legal-content/LV/TXT/?uri=celex%3A32016R0679" TargetMode="External"/><Relationship Id="rId5" Type="http://schemas.openxmlformats.org/officeDocument/2006/relationships/webSettings" Target="webSettings.xml"/><Relationship Id="rId15" Type="http://schemas.openxmlformats.org/officeDocument/2006/relationships/hyperlink" Target="https://likumi.lv/ta/id/274749" TargetMode="External"/><Relationship Id="rId23" Type="http://schemas.openxmlformats.org/officeDocument/2006/relationships/hyperlink" Target="https://www.irena.org/Statistics" TargetMode="External"/><Relationship Id="rId10" Type="http://schemas.openxmlformats.org/officeDocument/2006/relationships/hyperlink" Target="https://likumi.lv/ta/id/274749" TargetMode="External"/><Relationship Id="rId19" Type="http://schemas.openxmlformats.org/officeDocument/2006/relationships/hyperlink" Target="https://em.gov.lv/lv/nozares_politika/nacionalais_energetikas_un_klimata_plans/" TargetMode="External"/><Relationship Id="rId4" Type="http://schemas.openxmlformats.org/officeDocument/2006/relationships/settings" Target="settings.xml"/><Relationship Id="rId9" Type="http://schemas.openxmlformats.org/officeDocument/2006/relationships/hyperlink" Target="https://eur-lex.europa.eu/eli/reg/2014/431/oj/?locale=LV" TargetMode="External"/><Relationship Id="rId14" Type="http://schemas.openxmlformats.org/officeDocument/2006/relationships/hyperlink" Target="https://likumi.lv/ta/id/334345-elektronisko-sakaru-likums" TargetMode="External"/><Relationship Id="rId22" Type="http://schemas.openxmlformats.org/officeDocument/2006/relationships/hyperlink" Target="https://www.iea.org/areas-of-work/data-and-statistics"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5412</Words>
  <Characters>3085</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Gertrude Viksna</cp:lastModifiedBy>
  <cp:revision>9</cp:revision>
  <cp:lastPrinted>2021-06-21T12:29:00Z</cp:lastPrinted>
  <dcterms:created xsi:type="dcterms:W3CDTF">2021-06-09T18:44:00Z</dcterms:created>
  <dcterms:modified xsi:type="dcterms:W3CDTF">2025-09-05T13:45:00Z</dcterms:modified>
</cp:coreProperties>
</file>