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6B1D4418" w:rsidR="0051672D" w:rsidRPr="00883277" w:rsidRDefault="004959E8" w:rsidP="008A257A">
      <w:pPr>
        <w:spacing w:after="120" w:line="240" w:lineRule="auto"/>
        <w:ind w:left="0"/>
        <w:rPr>
          <w:sz w:val="26"/>
          <w:szCs w:val="26"/>
        </w:rPr>
      </w:pPr>
      <w:r>
        <w:rPr>
          <w:sz w:val="26"/>
          <w:szCs w:val="26"/>
        </w:rPr>
        <w:t>“Pārskats par darbu” (</w:t>
      </w:r>
      <w:bookmarkStart w:id="0" w:name="_Hlk40879117"/>
      <w:r>
        <w:rPr>
          <w:sz w:val="26"/>
          <w:szCs w:val="26"/>
        </w:rPr>
        <w:t>2-darbs (īsā)</w:t>
      </w:r>
      <w:bookmarkEnd w:id="0"/>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B15BEF">
      <w:pPr>
        <w:pStyle w:val="Heading1"/>
        <w:numPr>
          <w:ilvl w:val="0"/>
          <w:numId w:val="10"/>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54A6D6D9" w14:textId="08B49E85" w:rsidR="00140376" w:rsidRDefault="00140376" w:rsidP="004959E8">
      <w:r w:rsidRPr="009404C8">
        <w:t>Pārvalde lūdz iesniegt datus, lai nodrošinātu lietotāju vajadzības, kas defin</w:t>
      </w:r>
      <w:r w:rsidRPr="00297A8D">
        <w:t xml:space="preserve">ētas </w:t>
      </w:r>
      <w:hyperlink r:id="rId7" w:history="1">
        <w:r w:rsidRPr="00297A8D">
          <w:rPr>
            <w:rStyle w:val="Hyperlink"/>
            <w:rFonts w:cs="Verdana"/>
            <w:szCs w:val="20"/>
          </w:rPr>
          <w:t xml:space="preserve">Oficiālās statistikas </w:t>
        </w:r>
        <w:r w:rsidRPr="00297A8D">
          <w:rPr>
            <w:rStyle w:val="Hyperlink"/>
          </w:rPr>
          <w:t>programmas</w:t>
        </w:r>
      </w:hyperlink>
      <w:r w:rsidRPr="00297A8D">
        <w:t xml:space="preserve"> pielikuma 1. punktā (Nacionālo kontu sistēma)</w:t>
      </w:r>
      <w:r w:rsidR="00297A8D" w:rsidRPr="00297A8D">
        <w:t>,</w:t>
      </w:r>
      <w:r w:rsidR="00297A8D" w:rsidRPr="00297A8D">
        <w:rPr>
          <w:szCs w:val="20"/>
        </w:rPr>
        <w:t xml:space="preserve"> 4. punktā (Cenu statistika)</w:t>
      </w:r>
      <w:r w:rsidR="008E0B35">
        <w:rPr>
          <w:szCs w:val="20"/>
        </w:rPr>
        <w:t>,</w:t>
      </w:r>
      <w:r w:rsidR="00297A8D" w:rsidRPr="00297A8D">
        <w:t xml:space="preserve"> </w:t>
      </w:r>
      <w:r w:rsidR="00297A8D" w:rsidRPr="00297A8D">
        <w:rPr>
          <w:szCs w:val="20"/>
        </w:rPr>
        <w:t>13. punktā (Galvenie uzņēmējdarbības gada rādītāji), 14. punktā (Darba samaksas statistika)</w:t>
      </w:r>
      <w:r w:rsidRPr="00297A8D">
        <w:t xml:space="preserve"> un </w:t>
      </w:r>
      <w:r w:rsidR="00297A8D" w:rsidRPr="00297A8D">
        <w:rPr>
          <w:szCs w:val="20"/>
        </w:rPr>
        <w:t>25. punktā (Tūrisma statistika)</w:t>
      </w:r>
      <w:r w:rsidRPr="00297A8D">
        <w:t>.</w:t>
      </w:r>
    </w:p>
    <w:p w14:paraId="50282D82" w14:textId="0CFA767E" w:rsidR="004959E8" w:rsidRDefault="00417E85" w:rsidP="004959E8">
      <w:r>
        <w:t>Ikviena</w:t>
      </w:r>
      <w:r w:rsidR="004959E8">
        <w:t xml:space="preserve"> uzņēmuma dati sniedz būtisku ieguldījumu informācijas sagatavošanā par darba tirgus rādītājiem – brīvo darbvietu skaitu, atalgojumu un pārējām darbaspēka izmaksām, nostrādātajām stundām, sadalījumā pa visām tautsaimniecības nozarēm un sektoriem. Darbaspēka izmaksu rādītāji tiek izmantoti inflācijas un darbaspēka tirgus dinamikas procesu analīzei.</w:t>
      </w:r>
    </w:p>
    <w:p w14:paraId="72A32E49" w14:textId="3066B735" w:rsidR="00381049" w:rsidRDefault="004959E8" w:rsidP="004959E8">
      <w:pPr>
        <w:rPr>
          <w:bCs/>
          <w:color w:val="000000"/>
        </w:rPr>
      </w:pPr>
      <w:r>
        <w:t xml:space="preserve">Kopsavilkuma datus savu funkciju veikšanai izmanto Latvijas valsts un pašvaldību institūcijas, Latvijas Banka, Eiropas Savienības institūcijas, starptautiskās organizācijas un citi datu lietotāji darba tirgus procesu analīzei, jaunu darbvietu radīšanas procesā, līgumu slēgšanā ar jauniem darbiniekiem un citiem mērķiem. Piemēram, datus par vidējo mēneša darba samaksu un darbaspēka izmaksu indeksiem Labklājības ministrija izmanto minimālās darba </w:t>
      </w:r>
      <w:r>
        <w:lastRenderedPageBreak/>
        <w:t>algas aprēķiniem, darba devēji – savu darbinieku atalgojuma ikgadējai pārskatīšanai, atalgojuma noteikšanai ārvalstniekiem, kurus vēlas nodarbināt savā uzņēmumā, kā arī dažādos projektos ar darbaspēku saistītu izmaksu indeksācijai. Ekonomikas ministrija gatavo regulārus ziņojumus par tautsaimniecības attīstību un darba tirgus attīstības prognozēm.</w:t>
      </w:r>
    </w:p>
    <w:p w14:paraId="41185709" w14:textId="56890C52" w:rsidR="00FB66EA" w:rsidRPr="00C13E38" w:rsidRDefault="008C258D" w:rsidP="00B15BEF">
      <w:pPr>
        <w:pStyle w:val="Heading1"/>
        <w:numPr>
          <w:ilvl w:val="0"/>
          <w:numId w:val="9"/>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4959E8" w:rsidRDefault="00F34984" w:rsidP="004652B7">
      <w:r w:rsidRPr="00C13E38">
        <w:t>Oficiālo statistiku nodrošin</w:t>
      </w:r>
      <w:r w:rsidR="007B0817">
        <w:t>a</w:t>
      </w:r>
      <w:r w:rsidRPr="00C13E38">
        <w:t xml:space="preserve">, lai izpildītu šādus </w:t>
      </w:r>
      <w:r w:rsidR="00322F85" w:rsidRPr="00C13E38">
        <w:t>tiesību aktus:</w:t>
      </w:r>
    </w:p>
    <w:p w14:paraId="3F180FBE" w14:textId="57751C19" w:rsidR="004959E8" w:rsidRPr="00297A8D" w:rsidRDefault="004959E8" w:rsidP="00297A8D">
      <w:pPr>
        <w:pStyle w:val="NoSpacing"/>
      </w:pPr>
      <w:hyperlink r:id="rId8" w:history="1">
        <w:r w:rsidRPr="00297A8D">
          <w:rPr>
            <w:rStyle w:val="Hyperlink"/>
          </w:rPr>
          <w:t xml:space="preserve">Eiropas Parlamenta un Padomes 2003. gada 27. februāra </w:t>
        </w:r>
        <w:r w:rsidR="00E65491" w:rsidRPr="00297A8D">
          <w:rPr>
            <w:rStyle w:val="Hyperlink"/>
          </w:rPr>
          <w:t>Regul</w:t>
        </w:r>
        <w:r w:rsidR="00E65491">
          <w:rPr>
            <w:rStyle w:val="Hyperlink"/>
          </w:rPr>
          <w:t>u</w:t>
        </w:r>
        <w:r w:rsidR="00E65491" w:rsidRPr="00297A8D">
          <w:rPr>
            <w:rStyle w:val="Hyperlink"/>
          </w:rPr>
          <w:t xml:space="preserve"> </w:t>
        </w:r>
        <w:r w:rsidRPr="00297A8D">
          <w:rPr>
            <w:rStyle w:val="Hyperlink"/>
          </w:rPr>
          <w:t>(EK) Nr.</w:t>
        </w:r>
        <w:r w:rsidR="00297A8D" w:rsidRPr="00297A8D">
          <w:rPr>
            <w:rStyle w:val="Hyperlink"/>
          </w:rPr>
          <w:t> </w:t>
        </w:r>
        <w:r w:rsidRPr="00297A8D">
          <w:rPr>
            <w:rStyle w:val="Hyperlink"/>
          </w:rPr>
          <w:t>450/2003</w:t>
        </w:r>
      </w:hyperlink>
      <w:r w:rsidRPr="00297A8D">
        <w:t xml:space="preserve"> par darbaspēka izmaksu indeksu (Dokuments attiecas uz EEZ);</w:t>
      </w:r>
    </w:p>
    <w:p w14:paraId="179E949E" w14:textId="002B1203" w:rsidR="004959E8" w:rsidRPr="00297A8D" w:rsidRDefault="004959E8" w:rsidP="00297A8D">
      <w:pPr>
        <w:pStyle w:val="NoSpacing"/>
      </w:pPr>
      <w:hyperlink r:id="rId9" w:history="1">
        <w:r w:rsidRPr="00297A8D">
          <w:rPr>
            <w:rStyle w:val="Hyperlink"/>
          </w:rPr>
          <w:t xml:space="preserve">Eiropas Parlamenta un Padomes 2008. gada 23. aprīļa </w:t>
        </w:r>
        <w:r w:rsidR="00E65491" w:rsidRPr="00297A8D">
          <w:rPr>
            <w:rStyle w:val="Hyperlink"/>
          </w:rPr>
          <w:t>Regul</w:t>
        </w:r>
        <w:r w:rsidR="00E65491">
          <w:rPr>
            <w:rStyle w:val="Hyperlink"/>
          </w:rPr>
          <w:t>u</w:t>
        </w:r>
        <w:r w:rsidR="00E65491" w:rsidRPr="00297A8D">
          <w:rPr>
            <w:rStyle w:val="Hyperlink"/>
          </w:rPr>
          <w:t xml:space="preserve"> </w:t>
        </w:r>
        <w:r w:rsidRPr="00297A8D">
          <w:rPr>
            <w:rStyle w:val="Hyperlink"/>
          </w:rPr>
          <w:t>(EK) Nr.</w:t>
        </w:r>
        <w:r w:rsidR="00297A8D" w:rsidRPr="00297A8D">
          <w:rPr>
            <w:rStyle w:val="Hyperlink"/>
          </w:rPr>
          <w:t> </w:t>
        </w:r>
        <w:r w:rsidRPr="00297A8D">
          <w:rPr>
            <w:rStyle w:val="Hyperlink"/>
          </w:rPr>
          <w:t>453/2008</w:t>
        </w:r>
      </w:hyperlink>
      <w:r w:rsidRPr="00297A8D">
        <w:t xml:space="preserve"> attiecībā uz ceturkšņa statistiku par brīvajām darbvietām Kopienā</w:t>
      </w:r>
      <w:r w:rsidR="00620317">
        <w:t xml:space="preserve"> </w:t>
      </w:r>
      <w:r w:rsidR="00620317" w:rsidRPr="00297A8D">
        <w:t>(Dokuments attiecas uz EEZ)</w:t>
      </w:r>
      <w:r w:rsidR="00140376" w:rsidRPr="00297A8D">
        <w:rPr>
          <w:rStyle w:val="Hyperlink"/>
          <w:color w:val="auto"/>
        </w:rPr>
        <w:t>;</w:t>
      </w:r>
    </w:p>
    <w:p w14:paraId="6A3D2218" w14:textId="10F26E49" w:rsidR="004959E8" w:rsidRPr="00297A8D" w:rsidRDefault="004959E8" w:rsidP="00297A8D">
      <w:pPr>
        <w:pStyle w:val="NoSpacing"/>
      </w:pPr>
      <w:hyperlink r:id="rId10" w:history="1">
        <w:r w:rsidRPr="00297A8D">
          <w:rPr>
            <w:rStyle w:val="Hyperlink"/>
          </w:rPr>
          <w:t xml:space="preserve">Eiropas Parlamenta un Padomes 2019. gada 27. novembra </w:t>
        </w:r>
        <w:r w:rsidR="00E65491" w:rsidRPr="00297A8D">
          <w:rPr>
            <w:rStyle w:val="Hyperlink"/>
          </w:rPr>
          <w:t>Regul</w:t>
        </w:r>
        <w:r w:rsidR="00E65491">
          <w:rPr>
            <w:rStyle w:val="Hyperlink"/>
          </w:rPr>
          <w:t>u</w:t>
        </w:r>
        <w:r w:rsidR="00E65491" w:rsidRPr="00297A8D">
          <w:rPr>
            <w:rStyle w:val="Hyperlink"/>
          </w:rPr>
          <w:t xml:space="preserve"> </w:t>
        </w:r>
        <w:r w:rsidRPr="00297A8D">
          <w:rPr>
            <w:rStyle w:val="Hyperlink"/>
          </w:rPr>
          <w:t>(ES) Nr. 2019/2152</w:t>
        </w:r>
      </w:hyperlink>
      <w:r w:rsidRPr="00297A8D">
        <w:t xml:space="preserve"> par Eiropas uzņēmējdarbības statistiku, ar ko atceļ 10 tiesību aktus uzņēmējdarbības statistikas jomā</w:t>
      </w:r>
      <w:r w:rsidR="00620317">
        <w:t xml:space="preserve"> </w:t>
      </w:r>
      <w:r w:rsidR="00620317" w:rsidRPr="00297A8D">
        <w:t>(Dokuments attiecas uz EEZ)</w:t>
      </w:r>
      <w:r w:rsidRPr="00297A8D">
        <w:t>;</w:t>
      </w:r>
    </w:p>
    <w:p w14:paraId="7A525018" w14:textId="5E86B29B" w:rsidR="00420AD1" w:rsidRPr="003B371D" w:rsidRDefault="004959E8" w:rsidP="00297A8D">
      <w:pPr>
        <w:pStyle w:val="NoSpacing"/>
      </w:pPr>
      <w:r w:rsidRPr="00297A8D">
        <w:t xml:space="preserve">Latvijas </w:t>
      </w:r>
      <w:r w:rsidR="00E65491" w:rsidRPr="00297A8D">
        <w:t>normatīv</w:t>
      </w:r>
      <w:r w:rsidR="00E65491">
        <w:t>os</w:t>
      </w:r>
      <w:r w:rsidR="00E65491" w:rsidRPr="00297A8D">
        <w:t xml:space="preserve"> akt</w:t>
      </w:r>
      <w:r w:rsidR="00E65491">
        <w:t>us</w:t>
      </w:r>
      <w:r w:rsidRPr="00297A8D">
        <w:t>, kas nosaka atalgojuma noteikšanas metodoloģiju atsevišķām nodarbināto grupām, arī ārvalstniekiem, kur tiek izmantota vidējā mēneša darba samaksa.</w:t>
      </w:r>
    </w:p>
    <w:p w14:paraId="0EA759E9" w14:textId="43AFA218" w:rsidR="00E47D56" w:rsidRPr="00F37885" w:rsidRDefault="008C258D" w:rsidP="00B15BEF">
      <w:pPr>
        <w:pStyle w:val="Heading1"/>
        <w:numPr>
          <w:ilvl w:val="0"/>
          <w:numId w:val="11"/>
        </w:numPr>
      </w:pPr>
      <w:bookmarkStart w:id="4" w:name="_Toc70071549"/>
      <w:r>
        <w:t>Kur ir noteikts p</w:t>
      </w:r>
      <w:r w:rsidR="00E47D56" w:rsidRPr="00F37885">
        <w:t>ienākums iesniegt datus</w:t>
      </w:r>
      <w:r>
        <w:t>?</w:t>
      </w:r>
      <w:bookmarkEnd w:id="4"/>
    </w:p>
    <w:p w14:paraId="2FE3EA63" w14:textId="1B3CC7E5" w:rsidR="00DC7EFA" w:rsidRPr="00C13E38" w:rsidRDefault="00E47D56" w:rsidP="00A513C7">
      <w:r w:rsidRPr="00C13E38">
        <w:t>Pienākums iesniegt datus izriet no</w:t>
      </w:r>
      <w:r w:rsidR="008629E4" w:rsidRPr="00C13E38">
        <w:t xml:space="preserve"> </w:t>
      </w:r>
      <w:hyperlink r:id="rId11" w:anchor="p14" w:history="1">
        <w:hyperlink r:id="rId12" w:anchor="p14" w:history="1">
          <w:r w:rsidRPr="00297A8D">
            <w:rPr>
              <w:rStyle w:val="Hyperlink"/>
              <w:rFonts w:cs="Times New Roman"/>
              <w:szCs w:val="20"/>
            </w:rPr>
            <w:t>Stat</w:t>
          </w:r>
          <w:r w:rsidR="00DC7EFA" w:rsidRPr="00297A8D">
            <w:rPr>
              <w:rStyle w:val="Hyperlink"/>
              <w:rFonts w:cs="Times New Roman"/>
              <w:szCs w:val="20"/>
            </w:rPr>
            <w:t>i</w:t>
          </w:r>
          <w:r w:rsidRPr="00297A8D">
            <w:rPr>
              <w:rStyle w:val="Hyperlink"/>
              <w:rFonts w:cs="Times New Roman"/>
              <w:szCs w:val="20"/>
            </w:rPr>
            <w:t>s</w:t>
          </w:r>
          <w:r w:rsidR="00DC7EFA" w:rsidRPr="00297A8D">
            <w:rPr>
              <w:rStyle w:val="Hyperlink"/>
              <w:rFonts w:cs="Times New Roman"/>
              <w:szCs w:val="20"/>
            </w:rPr>
            <w:t>tikas likuma 14. panta pirmās daļas</w:t>
          </w:r>
        </w:hyperlink>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B15BEF">
      <w:pPr>
        <w:pStyle w:val="Heading1"/>
        <w:numPr>
          <w:ilvl w:val="0"/>
          <w:numId w:val="8"/>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0FFD7EFF" w14:textId="49156337" w:rsidR="004959E8" w:rsidRPr="005747A7" w:rsidRDefault="004959E8" w:rsidP="004959E8">
      <w:pPr>
        <w:rPr>
          <w:iCs/>
        </w:rPr>
      </w:pPr>
      <w:r w:rsidRPr="005747A7">
        <w:t xml:space="preserve">Administratīvie dati tiek iegūti no Valsts ieņēmumu dienestā </w:t>
      </w:r>
      <w:r>
        <w:t xml:space="preserve">(VID) </w:t>
      </w:r>
      <w:r w:rsidRPr="005747A7">
        <w:t>iesniegtajiem darba devēju ziņojumiem:</w:t>
      </w:r>
    </w:p>
    <w:p w14:paraId="0AFDBA88" w14:textId="548C0A3F" w:rsidR="004959E8" w:rsidRPr="00E27FCD" w:rsidRDefault="00E27FCD" w:rsidP="00297A8D">
      <w:pPr>
        <w:pStyle w:val="NoSpacing"/>
        <w:rPr>
          <w:iCs/>
        </w:rPr>
      </w:pPr>
      <w:bookmarkStart w:id="6" w:name="_Hlk72404081"/>
      <w:r>
        <w:t>Ziņas par darba ņēmējiem</w:t>
      </w:r>
      <w:bookmarkEnd w:id="6"/>
      <w:r w:rsidR="004959E8" w:rsidRPr="005747A7">
        <w:t>;</w:t>
      </w:r>
    </w:p>
    <w:p w14:paraId="3E36FBDD" w14:textId="713BF369" w:rsidR="00E27FCD" w:rsidRPr="00E27FCD" w:rsidRDefault="00E27FCD" w:rsidP="00E851C8">
      <w:pPr>
        <w:pStyle w:val="NoSpacing"/>
        <w:rPr>
          <w:iCs/>
        </w:rPr>
      </w:pPr>
      <w:r>
        <w:t>Darba devēja ziņojums;</w:t>
      </w:r>
    </w:p>
    <w:p w14:paraId="42E9A83B" w14:textId="65029467" w:rsidR="004959E8" w:rsidRPr="005747A7" w:rsidRDefault="00E27FCD" w:rsidP="00297A8D">
      <w:pPr>
        <w:pStyle w:val="NoSpacing"/>
        <w:rPr>
          <w:iCs/>
        </w:rPr>
      </w:pPr>
      <w:r>
        <w:t>S</w:t>
      </w:r>
      <w:r w:rsidR="004959E8" w:rsidRPr="005747A7">
        <w:t xml:space="preserve">ezonas laukstrādnieku ienākuma nodokļa maksātāju </w:t>
      </w:r>
      <w:r>
        <w:t>ziņojums</w:t>
      </w:r>
      <w:r w:rsidR="00CF134B">
        <w:t>.</w:t>
      </w:r>
    </w:p>
    <w:p w14:paraId="0D0EE05B" w14:textId="742C861D" w:rsidR="004959E8" w:rsidRPr="00A83AF9" w:rsidRDefault="004959E8" w:rsidP="004959E8">
      <w:pPr>
        <w:rPr>
          <w:iCs/>
        </w:rPr>
      </w:pPr>
      <w:r w:rsidRPr="00A83AF9">
        <w:t>Administratīvo datu izmantošanas iespējas statistisko rādītāju aprēķiniem ir atkarīgas no uzņēmumu lieluma un saimnieciskās darbības veida. Uzņēmumu ar nodarbināto skaitu no 1 līdz 9 dati tiek aprēķināti</w:t>
      </w:r>
      <w:r w:rsidR="008E0B35">
        <w:t>,</w:t>
      </w:r>
      <w:r w:rsidRPr="00A83AF9">
        <w:t xml:space="preserve"> izmantojot tikai VID informāciju, uzņēmumu ar nodarbināto skaitu 10 un vairāk - izmantojot gan pieejamo VID informāciju, gan statistisko pārskatu (2-darbs, 2-darbs (īsā), 2-darbs-pašvaldības) datus. Izmantot </w:t>
      </w:r>
      <w:bookmarkStart w:id="7" w:name="_Hlk40878085"/>
      <w:r w:rsidRPr="00A83AF9">
        <w:t xml:space="preserve">tikai VID datus statistisko rādītāju iegūšanai </w:t>
      </w:r>
      <w:bookmarkEnd w:id="7"/>
      <w:r w:rsidRPr="00A83AF9">
        <w:t>nav iespējams, jo</w:t>
      </w:r>
    </w:p>
    <w:p w14:paraId="0EC1B1AB" w14:textId="77777777" w:rsidR="004959E8" w:rsidRPr="005747A7" w:rsidRDefault="004959E8" w:rsidP="00297A8D">
      <w:pPr>
        <w:pStyle w:val="NoSpacing"/>
      </w:pPr>
      <w:r w:rsidRPr="005747A7">
        <w:t xml:space="preserve">darba ienākumi, kas tiek deklarēti VID pārskatos, neatbilst statistiskajai darba samaksas definīcijai, jo tie ietver ne tikai darba samaksu, bet arī </w:t>
      </w:r>
      <w:r w:rsidRPr="005747A7">
        <w:lastRenderedPageBreak/>
        <w:t>citus ienākumus, no kuriem aprēķina sociālās apdrošināšanas iemaksas un algas nodokli;</w:t>
      </w:r>
    </w:p>
    <w:p w14:paraId="37C99FD9" w14:textId="77777777" w:rsidR="004959E8" w:rsidRPr="009C3DD2" w:rsidRDefault="004959E8" w:rsidP="00297A8D">
      <w:pPr>
        <w:pStyle w:val="NoSpacing"/>
      </w:pPr>
      <w:r w:rsidRPr="009C3DD2">
        <w:t>darba ienākumi VID pārskatos netiek deklarēti atsevišķi pa sastāvdaļām, kā to prasa ES regulas, t.i., netiek nodrošināts atsevišķi sadalījums regulārajā un neregulārajā darba samaksā, samaksā par nenostrādātajām dienām (atvaļinājumiem, brīvdienām), slimības lapu apmaksā;</w:t>
      </w:r>
    </w:p>
    <w:p w14:paraId="4D06208C" w14:textId="10437D76" w:rsidR="004959E8" w:rsidRDefault="004959E8" w:rsidP="00297A8D">
      <w:pPr>
        <w:pStyle w:val="NoSpacing"/>
      </w:pPr>
      <w:r w:rsidRPr="003B69B5">
        <w:t>VID nav pieejama ceturkšņa informācija par pārējām darbaspēka izmaksām (brīvprātīg</w:t>
      </w:r>
      <w:r>
        <w:t>ās</w:t>
      </w:r>
      <w:r w:rsidRPr="003B69B5">
        <w:t xml:space="preserve"> sociālās apdrošināšanas iemaks</w:t>
      </w:r>
      <w:r>
        <w:t>as</w:t>
      </w:r>
      <w:r w:rsidRPr="003B69B5">
        <w:t xml:space="preserve"> (veselības, dzīvības, papildu pensijas </w:t>
      </w:r>
      <w:r>
        <w:t>u.c.</w:t>
      </w:r>
      <w:r w:rsidRPr="003B69B5">
        <w:t>)</w:t>
      </w:r>
      <w:r>
        <w:t>)</w:t>
      </w:r>
      <w:r w:rsidRPr="003B69B5">
        <w:t>, darba devēja izmaksātajiem pabalstiem, kā arī darba samaks</w:t>
      </w:r>
      <w:r>
        <w:t>u</w:t>
      </w:r>
      <w:r w:rsidRPr="003B69B5">
        <w:t xml:space="preserve"> natūrā (mobilo telefonu, ēdināšanas, transporta apmaksa un citi labumi, ko nodrošina darba devējs saviem darbiniekiem)</w:t>
      </w:r>
      <w:r w:rsidR="00140376">
        <w:t>.</w:t>
      </w:r>
    </w:p>
    <w:p w14:paraId="584FBD34" w14:textId="2CE85D37" w:rsidR="00381049" w:rsidRDefault="004959E8" w:rsidP="00297A8D">
      <w:r w:rsidRPr="00870E86">
        <w:t xml:space="preserve">VID </w:t>
      </w:r>
      <w:r w:rsidRPr="006556BA">
        <w:t>datos nav informācijas, kuru CSP izmanto vidējas darba samaksas aprēķiniem: apmaksātās stundas, ņemot vērā apmaksātās prombūtnes, apmaksātos atvaļinājumus, brīvdienas, darba devēja apmaksāto slimības laiku sadalījumā pa darbinieku slodzēm.</w:t>
      </w:r>
    </w:p>
    <w:p w14:paraId="1F5F0C07" w14:textId="211764FC" w:rsidR="004E42BB" w:rsidRPr="00C13E38" w:rsidRDefault="00D44A6F" w:rsidP="00B15BEF">
      <w:pPr>
        <w:pStyle w:val="Heading1"/>
        <w:numPr>
          <w:ilvl w:val="0"/>
          <w:numId w:val="7"/>
        </w:numPr>
      </w:pPr>
      <w:bookmarkStart w:id="8" w:name="_Toc70071551"/>
      <w:r>
        <w:t>Kam ir jāiesniedz dati?</w:t>
      </w:r>
      <w:bookmarkEnd w:id="8"/>
    </w:p>
    <w:p w14:paraId="1F7E7871" w14:textId="77777777" w:rsidR="004959E8" w:rsidRDefault="004959E8" w:rsidP="004959E8">
      <w:proofErr w:type="spellStart"/>
      <w:r>
        <w:t>Apsekojumā</w:t>
      </w:r>
      <w:proofErr w:type="spellEnd"/>
      <w:r>
        <w:t xml:space="preserve"> iekļauj:</w:t>
      </w:r>
    </w:p>
    <w:p w14:paraId="71539DD3" w14:textId="13A2B054" w:rsidR="00D20956" w:rsidRDefault="004959E8" w:rsidP="00297A8D">
      <w:pPr>
        <w:pStyle w:val="NoSpacing"/>
        <w:rPr>
          <w:b/>
        </w:rPr>
      </w:pPr>
      <w:r w:rsidRPr="004959E8">
        <w:t>izlases veidā uzņēmumus ar nodarbināto skaitu no 10 līdz 99.</w:t>
      </w:r>
    </w:p>
    <w:p w14:paraId="63533B6A" w14:textId="08D3060A" w:rsidR="00003D6B" w:rsidRDefault="00003D6B" w:rsidP="00297A8D">
      <w:r w:rsidRPr="00003D6B">
        <w:t>Izlases izveidošanas standarts:</w:t>
      </w:r>
    </w:p>
    <w:p w14:paraId="16226D0E" w14:textId="408A5667" w:rsidR="008E0B35" w:rsidRDefault="008E0B35" w:rsidP="008E0B35">
      <w:pPr>
        <w:pStyle w:val="NoSpacing"/>
        <w:numPr>
          <w:ilvl w:val="2"/>
          <w:numId w:val="9"/>
        </w:numPr>
      </w:pPr>
      <w:hyperlink r:id="rId13" w:history="1">
        <w:r w:rsidRPr="00685791">
          <w:rPr>
            <w:rStyle w:val="Hyperlink"/>
          </w:rPr>
          <w:t>Eiropas Parlamenta un Padomes 2003. gada 27. februāra Regula</w:t>
        </w:r>
        <w:r w:rsidR="00FC342C">
          <w:rPr>
            <w:rStyle w:val="Hyperlink"/>
          </w:rPr>
          <w:t>s</w:t>
        </w:r>
        <w:r w:rsidRPr="00685791">
          <w:rPr>
            <w:rStyle w:val="Hyperlink"/>
          </w:rPr>
          <w:t xml:space="preserve"> (EK) Nr.</w:t>
        </w:r>
        <w:r w:rsidR="00FC342C">
          <w:rPr>
            <w:rStyle w:val="Hyperlink"/>
          </w:rPr>
          <w:t> </w:t>
        </w:r>
        <w:r w:rsidRPr="00685791">
          <w:rPr>
            <w:rStyle w:val="Hyperlink"/>
          </w:rPr>
          <w:t>450/2003</w:t>
        </w:r>
      </w:hyperlink>
      <w:r w:rsidRPr="00685791">
        <w:t xml:space="preserve"> par darbaspēka izmaksu indeksu (Dokuments attiecas uz EEZ)</w:t>
      </w:r>
      <w:r>
        <w:t xml:space="preserve"> </w:t>
      </w:r>
      <w:r w:rsidR="005004E2">
        <w:t xml:space="preserve">3. pants, </w:t>
      </w:r>
      <w:r>
        <w:t>4. panta 1. punkts</w:t>
      </w:r>
      <w:r w:rsidR="005004E2">
        <w:t xml:space="preserve"> un</w:t>
      </w:r>
      <w:r>
        <w:t xml:space="preserve"> 5. pants;</w:t>
      </w:r>
    </w:p>
    <w:p w14:paraId="41BE7A78" w14:textId="428770BA" w:rsidR="008E0B35" w:rsidRDefault="008E0B35" w:rsidP="008E0B35">
      <w:pPr>
        <w:pStyle w:val="NoSpacing"/>
        <w:numPr>
          <w:ilvl w:val="2"/>
          <w:numId w:val="9"/>
        </w:numPr>
      </w:pPr>
      <w:hyperlink r:id="rId14" w:history="1">
        <w:r w:rsidRPr="00685791">
          <w:rPr>
            <w:rStyle w:val="Hyperlink"/>
          </w:rPr>
          <w:t>Eiropas Parlamenta un Padomes 2008. gada 23. aprīļa Regula</w:t>
        </w:r>
        <w:r w:rsidR="00FC342C">
          <w:rPr>
            <w:rStyle w:val="Hyperlink"/>
          </w:rPr>
          <w:t>s</w:t>
        </w:r>
        <w:r w:rsidRPr="00685791">
          <w:rPr>
            <w:rStyle w:val="Hyperlink"/>
          </w:rPr>
          <w:t xml:space="preserve"> (EK) Nr. 453/2008</w:t>
        </w:r>
      </w:hyperlink>
      <w:r w:rsidRPr="00685791">
        <w:t xml:space="preserve"> attiecībā uz ceturkšņa statistiku par brīvajām darbvietām Kopienā</w:t>
      </w:r>
      <w:r>
        <w:t xml:space="preserve"> </w:t>
      </w:r>
      <w:r w:rsidR="00620317" w:rsidRPr="00297A8D">
        <w:t>(Dokuments attiecas uz EEZ)</w:t>
      </w:r>
      <w:r w:rsidR="00620317">
        <w:t xml:space="preserve"> </w:t>
      </w:r>
      <w:r>
        <w:t>1. pants;</w:t>
      </w:r>
    </w:p>
    <w:p w14:paraId="1387E058" w14:textId="354BE206" w:rsidR="00FF4B5B" w:rsidRPr="00FC342C" w:rsidRDefault="00B95B24" w:rsidP="00FC342C">
      <w:pPr>
        <w:pStyle w:val="NoSpacing"/>
        <w:numPr>
          <w:ilvl w:val="2"/>
          <w:numId w:val="9"/>
        </w:numPr>
      </w:pPr>
      <w:hyperlink r:id="rId15" w:history="1">
        <w:r w:rsidRPr="00A611D9">
          <w:rPr>
            <w:rStyle w:val="Hyperlink"/>
          </w:rPr>
          <w:t>Ministru kabineta 2016. gada 20. decembra noteikumi</w:t>
        </w:r>
        <w:r>
          <w:rPr>
            <w:rStyle w:val="Hyperlink"/>
          </w:rPr>
          <w:t xml:space="preserve"> </w:t>
        </w:r>
        <w:r w:rsidRPr="00A611D9">
          <w:rPr>
            <w:rStyle w:val="Hyperlink"/>
          </w:rPr>
          <w:t>Nr. 812</w:t>
        </w:r>
      </w:hyperlink>
      <w:r w:rsidRPr="00A611D9">
        <w:t xml:space="preserve"> ”Oficiālās statistikas veidlapu paraugu apstiprināšanas un veidlapu aizpildīšanas un iesniegšanas noteikumi”.</w:t>
      </w:r>
    </w:p>
    <w:p w14:paraId="74D77E06" w14:textId="2F3F2C6E" w:rsidR="009B665C" w:rsidRPr="00C13E38" w:rsidRDefault="00D44A6F" w:rsidP="00B15BEF">
      <w:pPr>
        <w:pStyle w:val="Heading1"/>
        <w:numPr>
          <w:ilvl w:val="0"/>
          <w:numId w:val="5"/>
        </w:numPr>
      </w:pPr>
      <w:bookmarkStart w:id="9" w:name="_Toc70071552"/>
      <w:r>
        <w:t>Kur publicē o</w:t>
      </w:r>
      <w:r w:rsidR="004E42BB" w:rsidRPr="00C13E38">
        <w:t>ficiāl</w:t>
      </w:r>
      <w:r>
        <w:t>o</w:t>
      </w:r>
      <w:r w:rsidR="004E42BB" w:rsidRPr="00C13E38">
        <w:t xml:space="preserve"> statisti</w:t>
      </w:r>
      <w:r>
        <w:t>ku?</w:t>
      </w:r>
      <w:bookmarkEnd w:id="9"/>
    </w:p>
    <w:p w14:paraId="54A507E2" w14:textId="77777777" w:rsidR="004959E8" w:rsidRDefault="004959E8" w:rsidP="00297A8D">
      <w:pPr>
        <w:pStyle w:val="NoSpacing"/>
      </w:pPr>
      <w:bookmarkStart w:id="10" w:name="_Toc40698654"/>
      <w:r>
        <w:t>Oficiālās statistikas portālā:</w:t>
      </w:r>
    </w:p>
    <w:p w14:paraId="5A2C506D" w14:textId="4A426578" w:rsidR="004959E8" w:rsidRPr="00297A8D" w:rsidRDefault="004959E8" w:rsidP="00B15BEF">
      <w:pPr>
        <w:pStyle w:val="NoSpacing"/>
        <w:numPr>
          <w:ilvl w:val="1"/>
          <w:numId w:val="13"/>
        </w:numPr>
      </w:pPr>
      <w:r w:rsidRPr="00297A8D">
        <w:t>Dati par nodarbināto skaita, nostrādāto stundu un aprēķinātās bruto darba samaksas indeksiem un to pārmaiņām</w:t>
      </w:r>
    </w:p>
    <w:p w14:paraId="711651F1" w14:textId="07C5282E" w:rsidR="004959E8" w:rsidRPr="00297A8D" w:rsidRDefault="004959E8" w:rsidP="00B15BEF">
      <w:pPr>
        <w:pStyle w:val="NoSpacing"/>
        <w:numPr>
          <w:ilvl w:val="2"/>
          <w:numId w:val="14"/>
        </w:numPr>
        <w:rPr>
          <w:u w:val="single"/>
        </w:rPr>
      </w:pPr>
      <w:hyperlink r:id="rId16" w:history="1">
        <w:r w:rsidRPr="00297A8D">
          <w:rPr>
            <w:rStyle w:val="Hyperlink"/>
            <w:rFonts w:cs="Times New Roman"/>
            <w:szCs w:val="20"/>
          </w:rPr>
          <w:t>Rūpniecībā</w:t>
        </w:r>
      </w:hyperlink>
    </w:p>
    <w:p w14:paraId="00527D6C" w14:textId="31A3146D" w:rsidR="004959E8" w:rsidRPr="00297A8D" w:rsidRDefault="004959E8" w:rsidP="00B15BEF">
      <w:pPr>
        <w:pStyle w:val="NoSpacing"/>
        <w:numPr>
          <w:ilvl w:val="2"/>
          <w:numId w:val="14"/>
        </w:numPr>
        <w:rPr>
          <w:u w:val="single"/>
        </w:rPr>
      </w:pPr>
      <w:hyperlink r:id="rId17" w:history="1">
        <w:r w:rsidRPr="00297A8D">
          <w:rPr>
            <w:rStyle w:val="Hyperlink"/>
            <w:rFonts w:cs="Times New Roman"/>
            <w:szCs w:val="20"/>
          </w:rPr>
          <w:t>Būvniecībā</w:t>
        </w:r>
      </w:hyperlink>
    </w:p>
    <w:p w14:paraId="77A236E1" w14:textId="5853576A" w:rsidR="004959E8" w:rsidRPr="00297A8D" w:rsidRDefault="004959E8" w:rsidP="00B15BEF">
      <w:pPr>
        <w:pStyle w:val="NoSpacing"/>
        <w:numPr>
          <w:ilvl w:val="2"/>
          <w:numId w:val="14"/>
        </w:numPr>
        <w:rPr>
          <w:color w:val="000000" w:themeColor="text1"/>
          <w:u w:val="single"/>
        </w:rPr>
      </w:pPr>
      <w:hyperlink r:id="rId18" w:history="1">
        <w:r w:rsidRPr="00297A8D">
          <w:rPr>
            <w:rStyle w:val="Hyperlink"/>
            <w:rFonts w:cs="Times New Roman"/>
            <w:szCs w:val="20"/>
          </w:rPr>
          <w:t>Tirdzniecībā un pakalpojumos</w:t>
        </w:r>
      </w:hyperlink>
    </w:p>
    <w:p w14:paraId="25203ABF" w14:textId="104D51BB" w:rsidR="004959E8" w:rsidRPr="00297A8D" w:rsidRDefault="004959E8" w:rsidP="00FC342C">
      <w:pPr>
        <w:pStyle w:val="NoSpacing"/>
        <w:numPr>
          <w:ilvl w:val="2"/>
          <w:numId w:val="14"/>
        </w:numPr>
        <w:ind w:left="2568" w:hanging="357"/>
        <w:rPr>
          <w:u w:val="single"/>
        </w:rPr>
      </w:pPr>
      <w:hyperlink r:id="rId19" w:history="1">
        <w:r w:rsidRPr="00297A8D">
          <w:rPr>
            <w:rStyle w:val="Hyperlink"/>
            <w:rFonts w:cs="Times New Roman"/>
            <w:szCs w:val="20"/>
          </w:rPr>
          <w:t>Darbaspēka izmaksu rādītāji</w:t>
        </w:r>
      </w:hyperlink>
    </w:p>
    <w:p w14:paraId="607A6D8D" w14:textId="01452CB5" w:rsidR="004959E8" w:rsidRPr="00297A8D" w:rsidRDefault="004959E8" w:rsidP="00B15BEF">
      <w:pPr>
        <w:pStyle w:val="NoSpacing"/>
        <w:numPr>
          <w:ilvl w:val="1"/>
          <w:numId w:val="13"/>
        </w:numPr>
        <w:rPr>
          <w:u w:val="single"/>
        </w:rPr>
      </w:pPr>
      <w:hyperlink r:id="rId20" w:history="1">
        <w:r w:rsidRPr="00297A8D">
          <w:rPr>
            <w:rStyle w:val="Hyperlink"/>
            <w:rFonts w:cs="Times New Roman"/>
            <w:szCs w:val="20"/>
          </w:rPr>
          <w:t>Dati par aizņemtajām un brīvajām darbvietām, kā arī brīvo darbvietu īpatsvaru</w:t>
        </w:r>
      </w:hyperlink>
    </w:p>
    <w:p w14:paraId="0CC76C6D" w14:textId="77777777" w:rsidR="008E0B35" w:rsidRPr="009D6BA2" w:rsidRDefault="008E0B35" w:rsidP="008E0B35">
      <w:pPr>
        <w:pStyle w:val="NoSpacing"/>
        <w:numPr>
          <w:ilvl w:val="1"/>
          <w:numId w:val="13"/>
        </w:numPr>
        <w:rPr>
          <w:rStyle w:val="Hyperlink"/>
          <w:rFonts w:cs="Times New Roman"/>
          <w:b/>
          <w:bCs/>
          <w:color w:val="000000" w:themeColor="text1"/>
          <w:szCs w:val="20"/>
          <w:u w:val="single"/>
        </w:rPr>
      </w:pPr>
      <w:hyperlink r:id="rId21" w:history="1">
        <w:r w:rsidRPr="00835122">
          <w:rPr>
            <w:rStyle w:val="Hyperlink"/>
            <w:rFonts w:cs="Times New Roman"/>
            <w:szCs w:val="20"/>
          </w:rPr>
          <w:t>Dati par vidējo mēneša darba samaksu</w:t>
        </w:r>
      </w:hyperlink>
    </w:p>
    <w:p w14:paraId="074633CB" w14:textId="77777777" w:rsidR="008E0B35" w:rsidRPr="009D6BA2" w:rsidRDefault="008E0B35" w:rsidP="008E0B35">
      <w:pPr>
        <w:pStyle w:val="NoSpacing"/>
        <w:numPr>
          <w:ilvl w:val="1"/>
          <w:numId w:val="13"/>
        </w:numPr>
        <w:rPr>
          <w:rFonts w:cs="Times New Roman"/>
          <w:color w:val="000000" w:themeColor="text1"/>
          <w:szCs w:val="20"/>
          <w:u w:val="single"/>
        </w:rPr>
      </w:pPr>
      <w:hyperlink r:id="rId22" w:history="1">
        <w:r w:rsidRPr="00C17063">
          <w:rPr>
            <w:rStyle w:val="Hyperlink"/>
            <w:rFonts w:cs="Times New Roman"/>
            <w:szCs w:val="20"/>
          </w:rPr>
          <w:t>Informatīvie apskati par darba samaksu un darbaspēka izmaksām</w:t>
        </w:r>
      </w:hyperlink>
    </w:p>
    <w:p w14:paraId="7C2FE2B5" w14:textId="0124D2CF" w:rsidR="004959E8" w:rsidRPr="005747A7" w:rsidRDefault="00297A8D" w:rsidP="00297A8D">
      <w:pPr>
        <w:pStyle w:val="NoSpacing"/>
      </w:pP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4959E8" w:rsidRPr="005747A7">
        <w:t xml:space="preserve"> datubāzēs:</w:t>
      </w:r>
    </w:p>
    <w:p w14:paraId="54193370" w14:textId="089E3C9A" w:rsidR="004959E8" w:rsidRPr="00012F49" w:rsidRDefault="004959E8" w:rsidP="00B15BEF">
      <w:pPr>
        <w:pStyle w:val="NoSpacing"/>
        <w:numPr>
          <w:ilvl w:val="1"/>
          <w:numId w:val="15"/>
        </w:numPr>
        <w:rPr>
          <w:rStyle w:val="Hyperlink"/>
          <w:rFonts w:cs="Times New Roman"/>
          <w:color w:val="auto"/>
          <w:szCs w:val="20"/>
        </w:rPr>
      </w:pPr>
      <w:hyperlink r:id="rId23" w:history="1">
        <w:r w:rsidRPr="00297A8D">
          <w:rPr>
            <w:rStyle w:val="Hyperlink"/>
            <w:rFonts w:cs="Times New Roman"/>
            <w:szCs w:val="20"/>
          </w:rPr>
          <w:t>ec.europa.eu/</w:t>
        </w:r>
        <w:proofErr w:type="spellStart"/>
        <w:r w:rsidRPr="00297A8D">
          <w:rPr>
            <w:rStyle w:val="Hyperlink"/>
            <w:rFonts w:cs="Times New Roman"/>
            <w:szCs w:val="20"/>
          </w:rPr>
          <w:t>eurostat</w:t>
        </w:r>
        <w:proofErr w:type="spellEnd"/>
        <w:r w:rsidRPr="00297A8D">
          <w:rPr>
            <w:rStyle w:val="Hyperlink"/>
            <w:rFonts w:cs="Times New Roman"/>
            <w:szCs w:val="20"/>
          </w:rPr>
          <w:t>/</w:t>
        </w:r>
        <w:proofErr w:type="spellStart"/>
        <w:r w:rsidRPr="00297A8D">
          <w:rPr>
            <w:rStyle w:val="Hyperlink"/>
            <w:rFonts w:cs="Times New Roman"/>
            <w:szCs w:val="20"/>
          </w:rPr>
          <w:t>data</w:t>
        </w:r>
        <w:proofErr w:type="spellEnd"/>
        <w:r w:rsidRPr="00297A8D">
          <w:rPr>
            <w:rStyle w:val="Hyperlink"/>
            <w:rFonts w:cs="Times New Roman"/>
            <w:szCs w:val="20"/>
          </w:rPr>
          <w:t>/</w:t>
        </w:r>
        <w:proofErr w:type="spellStart"/>
        <w:r w:rsidRPr="00297A8D">
          <w:rPr>
            <w:rStyle w:val="Hyperlink"/>
            <w:rFonts w:cs="Times New Roman"/>
            <w:szCs w:val="20"/>
          </w:rPr>
          <w:t>database?node_code</w:t>
        </w:r>
        <w:proofErr w:type="spellEnd"/>
        <w:r w:rsidRPr="00297A8D">
          <w:rPr>
            <w:rStyle w:val="Hyperlink"/>
            <w:rFonts w:cs="Times New Roman"/>
            <w:szCs w:val="20"/>
          </w:rPr>
          <w:t>=</w:t>
        </w:r>
        <w:proofErr w:type="spellStart"/>
        <w:r w:rsidRPr="00297A8D">
          <w:rPr>
            <w:rStyle w:val="Hyperlink"/>
            <w:rFonts w:cs="Times New Roman"/>
            <w:szCs w:val="20"/>
          </w:rPr>
          <w:t>sts_inlb_q</w:t>
        </w:r>
        <w:proofErr w:type="spellEnd"/>
      </w:hyperlink>
    </w:p>
    <w:p w14:paraId="65D728ED" w14:textId="1CD92AAE" w:rsidR="004959E8" w:rsidRPr="00012F49" w:rsidRDefault="004959E8" w:rsidP="00B15BEF">
      <w:pPr>
        <w:pStyle w:val="NoSpacing"/>
        <w:numPr>
          <w:ilvl w:val="1"/>
          <w:numId w:val="15"/>
        </w:numPr>
        <w:rPr>
          <w:u w:val="single"/>
        </w:rPr>
      </w:pPr>
      <w:hyperlink r:id="rId24" w:history="1">
        <w:r w:rsidRPr="00297A8D">
          <w:rPr>
            <w:rStyle w:val="Hyperlink"/>
            <w:rFonts w:cs="Times New Roman"/>
            <w:szCs w:val="20"/>
          </w:rPr>
          <w:t>ec.europa.eu/</w:t>
        </w:r>
        <w:proofErr w:type="spellStart"/>
        <w:r w:rsidRPr="00297A8D">
          <w:rPr>
            <w:rStyle w:val="Hyperlink"/>
            <w:rFonts w:cs="Times New Roman"/>
            <w:szCs w:val="20"/>
          </w:rPr>
          <w:t>eurostat</w:t>
        </w:r>
        <w:proofErr w:type="spellEnd"/>
        <w:r w:rsidRPr="00297A8D">
          <w:rPr>
            <w:rStyle w:val="Hyperlink"/>
            <w:rFonts w:cs="Times New Roman"/>
            <w:szCs w:val="20"/>
          </w:rPr>
          <w:t>/</w:t>
        </w:r>
        <w:proofErr w:type="spellStart"/>
        <w:r w:rsidRPr="00297A8D">
          <w:rPr>
            <w:rStyle w:val="Hyperlink"/>
            <w:rFonts w:cs="Times New Roman"/>
            <w:szCs w:val="20"/>
          </w:rPr>
          <w:t>data</w:t>
        </w:r>
        <w:proofErr w:type="spellEnd"/>
        <w:r w:rsidRPr="00297A8D">
          <w:rPr>
            <w:rStyle w:val="Hyperlink"/>
            <w:rFonts w:cs="Times New Roman"/>
            <w:szCs w:val="20"/>
          </w:rPr>
          <w:t>/</w:t>
        </w:r>
        <w:proofErr w:type="spellStart"/>
        <w:r w:rsidRPr="00297A8D">
          <w:rPr>
            <w:rStyle w:val="Hyperlink"/>
            <w:rFonts w:cs="Times New Roman"/>
            <w:szCs w:val="20"/>
          </w:rPr>
          <w:t>database?node_code</w:t>
        </w:r>
        <w:proofErr w:type="spellEnd"/>
        <w:r w:rsidRPr="00297A8D">
          <w:rPr>
            <w:rStyle w:val="Hyperlink"/>
            <w:rFonts w:cs="Times New Roman"/>
            <w:szCs w:val="20"/>
          </w:rPr>
          <w:t>=lc_lci_r2_q</w:t>
        </w:r>
      </w:hyperlink>
    </w:p>
    <w:p w14:paraId="0A49F2C1" w14:textId="4F870BE3" w:rsidR="004959E8" w:rsidRDefault="004959E8" w:rsidP="00B15BEF">
      <w:pPr>
        <w:pStyle w:val="NoSpacing"/>
        <w:numPr>
          <w:ilvl w:val="1"/>
          <w:numId w:val="15"/>
        </w:numPr>
        <w:rPr>
          <w:rStyle w:val="Hyperlink"/>
          <w:rFonts w:cs="Times New Roman"/>
          <w:color w:val="auto"/>
          <w:szCs w:val="20"/>
        </w:rPr>
      </w:pPr>
      <w:hyperlink r:id="rId25" w:history="1">
        <w:r w:rsidRPr="00297A8D">
          <w:rPr>
            <w:rStyle w:val="Hyperlink"/>
            <w:rFonts w:cs="Times New Roman"/>
            <w:szCs w:val="20"/>
          </w:rPr>
          <w:t>ec.europa.eu/</w:t>
        </w:r>
        <w:proofErr w:type="spellStart"/>
        <w:r w:rsidRPr="00297A8D">
          <w:rPr>
            <w:rStyle w:val="Hyperlink"/>
            <w:rFonts w:cs="Times New Roman"/>
            <w:szCs w:val="20"/>
          </w:rPr>
          <w:t>eurostat</w:t>
        </w:r>
        <w:proofErr w:type="spellEnd"/>
        <w:r w:rsidRPr="00297A8D">
          <w:rPr>
            <w:rStyle w:val="Hyperlink"/>
            <w:rFonts w:cs="Times New Roman"/>
            <w:szCs w:val="20"/>
          </w:rPr>
          <w:t>/</w:t>
        </w:r>
        <w:proofErr w:type="spellStart"/>
        <w:r w:rsidRPr="00297A8D">
          <w:rPr>
            <w:rStyle w:val="Hyperlink"/>
            <w:rFonts w:cs="Times New Roman"/>
            <w:szCs w:val="20"/>
          </w:rPr>
          <w:t>data</w:t>
        </w:r>
        <w:proofErr w:type="spellEnd"/>
        <w:r w:rsidRPr="00297A8D">
          <w:rPr>
            <w:rStyle w:val="Hyperlink"/>
            <w:rFonts w:cs="Times New Roman"/>
            <w:szCs w:val="20"/>
          </w:rPr>
          <w:t>/</w:t>
        </w:r>
        <w:proofErr w:type="spellStart"/>
        <w:r w:rsidRPr="00297A8D">
          <w:rPr>
            <w:rStyle w:val="Hyperlink"/>
            <w:rFonts w:cs="Times New Roman"/>
            <w:szCs w:val="20"/>
          </w:rPr>
          <w:t>database?node_code</w:t>
        </w:r>
        <w:proofErr w:type="spellEnd"/>
        <w:r w:rsidRPr="00297A8D">
          <w:rPr>
            <w:rStyle w:val="Hyperlink"/>
            <w:rFonts w:cs="Times New Roman"/>
            <w:szCs w:val="20"/>
          </w:rPr>
          <w:t>=jvs_q_nace2</w:t>
        </w:r>
      </w:hyperlink>
    </w:p>
    <w:p w14:paraId="438F1029" w14:textId="136DECEB" w:rsidR="00381049" w:rsidRPr="00297A8D" w:rsidRDefault="00DA44C3" w:rsidP="00297A8D">
      <w:pPr>
        <w:pStyle w:val="NoSpacing"/>
        <w:rPr>
          <w:rStyle w:val="Hyperlink"/>
          <w:rFonts w:cs="Times New Roman"/>
          <w:color w:val="auto"/>
          <w:szCs w:val="20"/>
        </w:rPr>
      </w:pPr>
      <w:hyperlink r:id="rId26" w:history="1">
        <w:r w:rsidRPr="00D2389B">
          <w:rPr>
            <w:rStyle w:val="Hyperlink"/>
            <w:rFonts w:cs="Tms Rmn"/>
            <w:szCs w:val="20"/>
          </w:rPr>
          <w:t xml:space="preserve">Datu </w:t>
        </w:r>
        <w:proofErr w:type="spellStart"/>
        <w:r w:rsidRPr="00D2389B">
          <w:rPr>
            <w:rStyle w:val="Hyperlink"/>
            <w:rFonts w:cs="Tms Rmn"/>
            <w:szCs w:val="20"/>
          </w:rPr>
          <w:t>vizualizācijas</w:t>
        </w:r>
        <w:proofErr w:type="spellEnd"/>
        <w:r w:rsidRPr="00D2389B">
          <w:rPr>
            <w:rStyle w:val="Hyperlink"/>
            <w:rFonts w:cs="Tms Rmn"/>
            <w:szCs w:val="20"/>
          </w:rPr>
          <w:t xml:space="preserve"> rīks</w:t>
        </w:r>
      </w:hyperlink>
      <w:r w:rsidR="004959E8" w:rsidRPr="00297A8D">
        <w:rPr>
          <w:rFonts w:cs="Tms Rmn"/>
          <w:szCs w:val="20"/>
        </w:rPr>
        <w:t xml:space="preserve"> </w:t>
      </w:r>
      <w:r w:rsidR="00297A8D">
        <w:rPr>
          <w:rFonts w:cs="Verdana"/>
          <w:color w:val="000000"/>
          <w:szCs w:val="20"/>
        </w:rPr>
        <w:t>Eiropas Savienības Statistikas biroja (</w:t>
      </w:r>
      <w:proofErr w:type="spellStart"/>
      <w:r w:rsidR="00297A8D">
        <w:rPr>
          <w:rFonts w:cs="Verdana"/>
          <w:color w:val="000000"/>
          <w:szCs w:val="20"/>
        </w:rPr>
        <w:t>Eurostat</w:t>
      </w:r>
      <w:proofErr w:type="spellEnd"/>
      <w:r w:rsidR="00297A8D">
        <w:rPr>
          <w:rFonts w:cs="Verdana"/>
          <w:color w:val="000000"/>
          <w:szCs w:val="20"/>
        </w:rPr>
        <w:t>)</w:t>
      </w:r>
      <w:r w:rsidR="004959E8" w:rsidRPr="00297A8D">
        <w:rPr>
          <w:rFonts w:cs="Tms Rmn"/>
          <w:szCs w:val="20"/>
        </w:rPr>
        <w:t xml:space="preserve"> mājaslapā</w:t>
      </w:r>
    </w:p>
    <w:p w14:paraId="46C4D164" w14:textId="1A9BB05C" w:rsidR="005472C0" w:rsidRPr="00C13E38" w:rsidRDefault="004D4ABE" w:rsidP="00B15BEF">
      <w:pPr>
        <w:pStyle w:val="Heading1"/>
        <w:numPr>
          <w:ilvl w:val="0"/>
          <w:numId w:val="6"/>
        </w:numPr>
      </w:pPr>
      <w:bookmarkStart w:id="11"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1"/>
    </w:p>
    <w:p w14:paraId="37A64856" w14:textId="77777777" w:rsidR="003D1A18" w:rsidRPr="003242B2" w:rsidRDefault="003D1A18" w:rsidP="003D1A18">
      <w:pPr>
        <w:pStyle w:val="NoSpacing"/>
        <w:rPr>
          <w:szCs w:val="20"/>
          <w:u w:val="single"/>
        </w:rPr>
      </w:pPr>
      <w:hyperlink r:id="rId27" w:history="1">
        <w:r w:rsidRPr="003242B2">
          <w:rPr>
            <w:rStyle w:val="Hyperlink"/>
            <w:szCs w:val="20"/>
          </w:rPr>
          <w:t>Ekonomikas ministrija</w:t>
        </w:r>
      </w:hyperlink>
    </w:p>
    <w:p w14:paraId="22E1CDDA" w14:textId="1A5BE38B" w:rsidR="004959E8" w:rsidRPr="00B15BEF" w:rsidRDefault="004959E8" w:rsidP="00B15BEF">
      <w:pPr>
        <w:pStyle w:val="NoSpacing"/>
        <w:rPr>
          <w:rFonts w:cs="Times New Roman"/>
          <w:szCs w:val="20"/>
          <w:u w:val="single"/>
        </w:rPr>
      </w:pPr>
      <w:hyperlink r:id="rId28" w:history="1">
        <w:r w:rsidRPr="00B15BEF">
          <w:rPr>
            <w:rStyle w:val="Hyperlink"/>
            <w:szCs w:val="20"/>
          </w:rPr>
          <w:t>Latvijas Banka</w:t>
        </w:r>
      </w:hyperlink>
      <w:r w:rsidRPr="00B15BEF">
        <w:rPr>
          <w:szCs w:val="20"/>
        </w:rPr>
        <w:t xml:space="preserve"> </w:t>
      </w:r>
    </w:p>
    <w:p w14:paraId="4BA2F4F8" w14:textId="7252E592" w:rsidR="004959E8" w:rsidRPr="00DF5BFC" w:rsidRDefault="004E24DE" w:rsidP="00B15BEF">
      <w:pPr>
        <w:pStyle w:val="NoSpacing"/>
      </w:pPr>
      <w:r>
        <w:t>Pārvaldes</w:t>
      </w:r>
      <w:r w:rsidR="004959E8" w:rsidRPr="00DF5BFC">
        <w:t xml:space="preserve"> un </w:t>
      </w: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004959E8" w:rsidRPr="00DF5BFC">
        <w:t xml:space="preserve"> datubāzēs publicētos rādītājus savu funkciju veikšanai izmanto starptautiskās organizācijas, kuru dalībvalsts ir Latvija vai ar kurām ir noslēgti līgumi par datu apmaiņu:</w:t>
      </w:r>
    </w:p>
    <w:p w14:paraId="459CA097" w14:textId="5CF7DCBD"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Ekonomiskās sadarbības un attīstības organizācija (</w:t>
      </w:r>
      <w:hyperlink r:id="rId29" w:history="1">
        <w:r w:rsidRPr="00B15BEF">
          <w:rPr>
            <w:rStyle w:val="Hyperlink"/>
            <w:rFonts w:cs="Times New Roman"/>
            <w:szCs w:val="20"/>
          </w:rPr>
          <w:t>OECD</w:t>
        </w:r>
      </w:hyperlink>
      <w:r w:rsidRPr="00B15BEF">
        <w:rPr>
          <w:rFonts w:cs="Times New Roman"/>
          <w:color w:val="000000" w:themeColor="text1"/>
          <w:szCs w:val="20"/>
        </w:rPr>
        <w:t>)</w:t>
      </w:r>
      <w:r w:rsidR="00140376" w:rsidRPr="00B15BEF">
        <w:rPr>
          <w:rFonts w:cs="Times New Roman"/>
          <w:color w:val="000000" w:themeColor="text1"/>
          <w:szCs w:val="20"/>
        </w:rPr>
        <w:t>;</w:t>
      </w:r>
    </w:p>
    <w:p w14:paraId="24C99A2C" w14:textId="7534C624"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Eiropas Centrālā banka (</w:t>
      </w:r>
      <w:hyperlink r:id="rId30" w:history="1">
        <w:r w:rsidRPr="00B15BEF">
          <w:rPr>
            <w:rStyle w:val="Hyperlink"/>
            <w:rFonts w:cs="Times New Roman"/>
            <w:szCs w:val="20"/>
          </w:rPr>
          <w:t>ECB</w:t>
        </w:r>
      </w:hyperlink>
      <w:r w:rsidRPr="00B15BEF">
        <w:rPr>
          <w:rFonts w:cs="Times New Roman"/>
          <w:color w:val="000000" w:themeColor="text1"/>
          <w:szCs w:val="20"/>
        </w:rPr>
        <w:t>)</w:t>
      </w:r>
      <w:r w:rsidR="00140376" w:rsidRPr="00B15BEF">
        <w:rPr>
          <w:rFonts w:cs="Times New Roman"/>
          <w:color w:val="000000" w:themeColor="text1"/>
          <w:szCs w:val="20"/>
        </w:rPr>
        <w:t>;</w:t>
      </w:r>
    </w:p>
    <w:p w14:paraId="652C513D" w14:textId="61452FA1"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Starptautiskais Valūtas fonds (</w:t>
      </w:r>
      <w:hyperlink r:id="rId31" w:anchor="data" w:history="1">
        <w:r w:rsidRPr="00B15BEF">
          <w:rPr>
            <w:rStyle w:val="Hyperlink"/>
            <w:rFonts w:cs="Times New Roman"/>
            <w:szCs w:val="20"/>
          </w:rPr>
          <w:t>IMF</w:t>
        </w:r>
      </w:hyperlink>
      <w:r w:rsidRPr="00B15BEF">
        <w:rPr>
          <w:rFonts w:cs="Times New Roman"/>
          <w:color w:val="000000" w:themeColor="text1"/>
          <w:szCs w:val="20"/>
        </w:rPr>
        <w:t>)</w:t>
      </w:r>
      <w:r w:rsidR="00140376" w:rsidRPr="00B15BEF">
        <w:rPr>
          <w:rFonts w:cs="Times New Roman"/>
          <w:color w:val="000000" w:themeColor="text1"/>
          <w:szCs w:val="20"/>
        </w:rPr>
        <w:t>;</w:t>
      </w:r>
    </w:p>
    <w:p w14:paraId="5F98F4AC" w14:textId="77777777" w:rsidR="004959E8" w:rsidRPr="00B15BEF" w:rsidRDefault="004959E8" w:rsidP="00B15BEF">
      <w:pPr>
        <w:pStyle w:val="NoSpacing"/>
        <w:numPr>
          <w:ilvl w:val="1"/>
          <w:numId w:val="16"/>
        </w:numPr>
        <w:rPr>
          <w:rFonts w:cs="Times New Roman"/>
          <w:color w:val="000000" w:themeColor="text1"/>
          <w:szCs w:val="20"/>
        </w:rPr>
      </w:pPr>
      <w:r w:rsidRPr="00B15BEF">
        <w:rPr>
          <w:rFonts w:cs="Times New Roman"/>
          <w:color w:val="000000" w:themeColor="text1"/>
          <w:szCs w:val="20"/>
        </w:rPr>
        <w:t>Apvienoto Nāciju Organizācija (</w:t>
      </w:r>
      <w:hyperlink r:id="rId32" w:history="1">
        <w:r w:rsidRPr="00B15BEF">
          <w:rPr>
            <w:rStyle w:val="Hyperlink"/>
            <w:rFonts w:cs="Times New Roman"/>
            <w:szCs w:val="20"/>
          </w:rPr>
          <w:t>UN</w:t>
        </w:r>
      </w:hyperlink>
      <w:r w:rsidRPr="00B15BEF">
        <w:rPr>
          <w:rFonts w:cs="Times New Roman"/>
          <w:color w:val="000000" w:themeColor="text1"/>
          <w:szCs w:val="20"/>
        </w:rPr>
        <w:t>) un tās aģentūra</w:t>
      </w:r>
    </w:p>
    <w:p w14:paraId="3CB4F6A1" w14:textId="3641253B" w:rsidR="00381049" w:rsidRPr="004959E8" w:rsidRDefault="004959E8" w:rsidP="00B15BEF">
      <w:pPr>
        <w:pStyle w:val="NoSpacing"/>
        <w:numPr>
          <w:ilvl w:val="1"/>
          <w:numId w:val="16"/>
        </w:numPr>
        <w:rPr>
          <w:rFonts w:cs="Times New Roman"/>
          <w:b/>
          <w:bCs/>
          <w:color w:val="000000" w:themeColor="text1"/>
          <w:szCs w:val="20"/>
        </w:rPr>
      </w:pPr>
      <w:r w:rsidRPr="00B15BEF">
        <w:rPr>
          <w:rFonts w:cs="Times New Roman"/>
          <w:color w:val="000000" w:themeColor="text1"/>
          <w:szCs w:val="20"/>
        </w:rPr>
        <w:t>Starptautiskā Darba organizācija (</w:t>
      </w:r>
      <w:hyperlink r:id="rId33" w:history="1">
        <w:r w:rsidRPr="00B15BEF">
          <w:rPr>
            <w:rStyle w:val="Hyperlink"/>
            <w:rFonts w:cs="Times New Roman"/>
            <w:szCs w:val="20"/>
          </w:rPr>
          <w:t>ILO</w:t>
        </w:r>
      </w:hyperlink>
      <w:r w:rsidRPr="00B15BEF">
        <w:rPr>
          <w:rFonts w:cs="Times New Roman"/>
          <w:color w:val="000000" w:themeColor="text1"/>
          <w:szCs w:val="20"/>
        </w:rPr>
        <w:t>)</w:t>
      </w:r>
      <w:r w:rsidR="00140376" w:rsidRPr="00B15BEF">
        <w:rPr>
          <w:rFonts w:cs="Times New Roman"/>
          <w:color w:val="000000" w:themeColor="text1"/>
          <w:szCs w:val="20"/>
        </w:rPr>
        <w:t>.</w:t>
      </w:r>
    </w:p>
    <w:p w14:paraId="78598D9A" w14:textId="574F8115" w:rsidR="00CB2A49" w:rsidRPr="00C13E38" w:rsidRDefault="004D4ABE" w:rsidP="00B15BEF">
      <w:pPr>
        <w:pStyle w:val="Heading1"/>
        <w:numPr>
          <w:ilvl w:val="0"/>
          <w:numId w:val="12"/>
        </w:numPr>
      </w:pPr>
      <w:bookmarkStart w:id="12" w:name="_Toc70071554"/>
      <w:r>
        <w:t>Vai Pārvalde ievēro d</w:t>
      </w:r>
      <w:r w:rsidR="00CB2A49" w:rsidRPr="00C13E38">
        <w:t>atu konfidencialitāt</w:t>
      </w:r>
      <w:r>
        <w:t>i?</w:t>
      </w:r>
      <w:bookmarkEnd w:id="12"/>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B15BEF">
      <w:pPr>
        <w:pStyle w:val="Heading1"/>
        <w:numPr>
          <w:ilvl w:val="0"/>
          <w:numId w:val="4"/>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02F83123" w14:textId="48349B11"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r w:rsidRPr="00B96FA5" w:rsidDel="00E015E5">
        <w:rPr>
          <w:rFonts w:cs="Times New Roman"/>
        </w:rPr>
        <w:t xml:space="preserve"> </w:t>
      </w:r>
    </w:p>
    <w:p w14:paraId="4BF34D59" w14:textId="6F15295B"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34" w:history="1">
        <w:r w:rsidR="00953091" w:rsidRPr="00B15BEF">
          <w:rPr>
            <w:rStyle w:val="Hyperlink"/>
            <w:rFonts w:cs="Times New Roman"/>
            <w:szCs w:val="20"/>
          </w:rPr>
          <w:t>Eiropas Parlamenta un Padomes 2016. gada 27. aprīļa Regulas (ES) 2016/679</w:t>
        </w:r>
      </w:hyperlink>
      <w:r w:rsidR="00953091" w:rsidRPr="00B15BEF">
        <w:rPr>
          <w:rFonts w:cs="Times New Roman"/>
          <w:szCs w:val="20"/>
        </w:rPr>
        <w:t xml:space="preserve"> par fizisku personu aizsardzību attiecībā uz personas datu apstrādi un šādu datu brīvu apriti un ar ko atceļ Direktīvu 95/46/EK</w:t>
      </w:r>
      <w:r w:rsidR="00953091" w:rsidRPr="0084776C">
        <w:rPr>
          <w:rFonts w:cs="Times New Roman"/>
        </w:rPr>
        <w:t xml:space="preserve"> </w:t>
      </w:r>
      <w:r w:rsidR="00620317" w:rsidRPr="00297A8D">
        <w:t>(Dokuments attiecas uz EEZ)</w:t>
      </w:r>
      <w:r w:rsidR="00620317">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0EB95B10" w:rsidR="003931BD" w:rsidRPr="00C2402B" w:rsidRDefault="00140376" w:rsidP="00A513C7">
      <w:pPr>
        <w:rPr>
          <w:rFonts w:cs="Times New Roman"/>
          <w:szCs w:val="20"/>
        </w:rPr>
      </w:pPr>
      <w:r w:rsidRPr="004B407B">
        <w:rPr>
          <w:rFonts w:cs="Times New Roman"/>
          <w:szCs w:val="20"/>
        </w:rPr>
        <w:t>Vairāk par informācijas drošību un datu aizsardzību var atrast Pārvaldes mājaslapā:</w:t>
      </w:r>
      <w:hyperlink r:id="rId35"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B30E5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1.25pt" o:bullet="t">
        <v:imagedata r:id="rId1" o:title="simbols"/>
      </v:shape>
    </w:pict>
  </w:numPicBullet>
  <w:abstractNum w:abstractNumId="0"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1F4D7471"/>
    <w:multiLevelType w:val="hybridMultilevel"/>
    <w:tmpl w:val="A6D2658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 w15:restartNumberingAfterBreak="0">
    <w:nsid w:val="30F15054"/>
    <w:multiLevelType w:val="hybridMultilevel"/>
    <w:tmpl w:val="DE6A19A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0"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5854556E"/>
    <w:multiLevelType w:val="hybridMultilevel"/>
    <w:tmpl w:val="60F059B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3"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15:restartNumberingAfterBreak="0">
    <w:nsid w:val="6EA757CE"/>
    <w:multiLevelType w:val="hybridMultilevel"/>
    <w:tmpl w:val="6578066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5" w15:restartNumberingAfterBreak="0">
    <w:nsid w:val="710A6F25"/>
    <w:multiLevelType w:val="hybridMultilevel"/>
    <w:tmpl w:val="61E4E1D4"/>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6"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266301246">
    <w:abstractNumId w:val="8"/>
  </w:num>
  <w:num w:numId="2" w16cid:durableId="1165826996">
    <w:abstractNumId w:val="9"/>
  </w:num>
  <w:num w:numId="3" w16cid:durableId="2021351228">
    <w:abstractNumId w:val="16"/>
  </w:num>
  <w:num w:numId="4" w16cid:durableId="475538512">
    <w:abstractNumId w:val="17"/>
  </w:num>
  <w:num w:numId="5" w16cid:durableId="1066339489">
    <w:abstractNumId w:val="2"/>
  </w:num>
  <w:num w:numId="6" w16cid:durableId="1168860609">
    <w:abstractNumId w:val="10"/>
  </w:num>
  <w:num w:numId="7" w16cid:durableId="2114206156">
    <w:abstractNumId w:val="1"/>
  </w:num>
  <w:num w:numId="8" w16cid:durableId="2002342165">
    <w:abstractNumId w:val="0"/>
  </w:num>
  <w:num w:numId="9" w16cid:durableId="504173483">
    <w:abstractNumId w:val="13"/>
  </w:num>
  <w:num w:numId="10" w16cid:durableId="1718511138">
    <w:abstractNumId w:val="7"/>
  </w:num>
  <w:num w:numId="11" w16cid:durableId="8337905">
    <w:abstractNumId w:val="5"/>
  </w:num>
  <w:num w:numId="12" w16cid:durableId="1836219767">
    <w:abstractNumId w:val="11"/>
  </w:num>
  <w:num w:numId="13" w16cid:durableId="85931382">
    <w:abstractNumId w:val="14"/>
  </w:num>
  <w:num w:numId="14" w16cid:durableId="1314871416">
    <w:abstractNumId w:val="12"/>
  </w:num>
  <w:num w:numId="15" w16cid:durableId="1394305771">
    <w:abstractNumId w:val="15"/>
  </w:num>
  <w:num w:numId="16" w16cid:durableId="1299217642">
    <w:abstractNumId w:val="4"/>
  </w:num>
  <w:num w:numId="17" w16cid:durableId="687608381">
    <w:abstractNumId w:val="6"/>
  </w:num>
  <w:num w:numId="18" w16cid:durableId="188331894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3D6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E6A91"/>
    <w:rsid w:val="000F1F03"/>
    <w:rsid w:val="001050DA"/>
    <w:rsid w:val="001062E3"/>
    <w:rsid w:val="00111F33"/>
    <w:rsid w:val="00113739"/>
    <w:rsid w:val="00114A54"/>
    <w:rsid w:val="001150BC"/>
    <w:rsid w:val="00115432"/>
    <w:rsid w:val="00123A03"/>
    <w:rsid w:val="00126A26"/>
    <w:rsid w:val="00127F2A"/>
    <w:rsid w:val="0013022B"/>
    <w:rsid w:val="00134736"/>
    <w:rsid w:val="00140376"/>
    <w:rsid w:val="00147A15"/>
    <w:rsid w:val="00152858"/>
    <w:rsid w:val="001547A6"/>
    <w:rsid w:val="001553E4"/>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4F5F"/>
    <w:rsid w:val="001F6F0A"/>
    <w:rsid w:val="00214288"/>
    <w:rsid w:val="002148CE"/>
    <w:rsid w:val="00224592"/>
    <w:rsid w:val="00236B6C"/>
    <w:rsid w:val="00237DA7"/>
    <w:rsid w:val="00237DD4"/>
    <w:rsid w:val="002433A0"/>
    <w:rsid w:val="002459A2"/>
    <w:rsid w:val="00247426"/>
    <w:rsid w:val="002643FB"/>
    <w:rsid w:val="00271785"/>
    <w:rsid w:val="00272D5E"/>
    <w:rsid w:val="00277A94"/>
    <w:rsid w:val="00281536"/>
    <w:rsid w:val="002846AB"/>
    <w:rsid w:val="002853F9"/>
    <w:rsid w:val="00294A06"/>
    <w:rsid w:val="00295E72"/>
    <w:rsid w:val="00297A8D"/>
    <w:rsid w:val="002A0338"/>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57C01"/>
    <w:rsid w:val="00371166"/>
    <w:rsid w:val="00380079"/>
    <w:rsid w:val="00381049"/>
    <w:rsid w:val="00381997"/>
    <w:rsid w:val="003859DE"/>
    <w:rsid w:val="003931BD"/>
    <w:rsid w:val="003A051D"/>
    <w:rsid w:val="003B371D"/>
    <w:rsid w:val="003B67AC"/>
    <w:rsid w:val="003C75AA"/>
    <w:rsid w:val="003D1A18"/>
    <w:rsid w:val="003D3C83"/>
    <w:rsid w:val="003D4A22"/>
    <w:rsid w:val="003E60C7"/>
    <w:rsid w:val="003E711F"/>
    <w:rsid w:val="003F5577"/>
    <w:rsid w:val="004001D7"/>
    <w:rsid w:val="0040338F"/>
    <w:rsid w:val="00404BE4"/>
    <w:rsid w:val="00417E85"/>
    <w:rsid w:val="00420AD1"/>
    <w:rsid w:val="00421416"/>
    <w:rsid w:val="00436ACB"/>
    <w:rsid w:val="004441B2"/>
    <w:rsid w:val="00453416"/>
    <w:rsid w:val="0046398C"/>
    <w:rsid w:val="004652B7"/>
    <w:rsid w:val="00466FD7"/>
    <w:rsid w:val="00472F83"/>
    <w:rsid w:val="00475B78"/>
    <w:rsid w:val="00481051"/>
    <w:rsid w:val="00493BB6"/>
    <w:rsid w:val="004959E8"/>
    <w:rsid w:val="004A2368"/>
    <w:rsid w:val="004A290C"/>
    <w:rsid w:val="004A3860"/>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24DE"/>
    <w:rsid w:val="004E42BB"/>
    <w:rsid w:val="004E678D"/>
    <w:rsid w:val="004F24BD"/>
    <w:rsid w:val="004F25C8"/>
    <w:rsid w:val="004F4B08"/>
    <w:rsid w:val="004F55D1"/>
    <w:rsid w:val="005004E2"/>
    <w:rsid w:val="00501FAD"/>
    <w:rsid w:val="005020DB"/>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34C4"/>
    <w:rsid w:val="005C7232"/>
    <w:rsid w:val="005D5B45"/>
    <w:rsid w:val="005E19EE"/>
    <w:rsid w:val="005E6C2A"/>
    <w:rsid w:val="005F59DA"/>
    <w:rsid w:val="00614F40"/>
    <w:rsid w:val="00620317"/>
    <w:rsid w:val="00622D1C"/>
    <w:rsid w:val="00626E48"/>
    <w:rsid w:val="00634FC5"/>
    <w:rsid w:val="006368C8"/>
    <w:rsid w:val="006424FC"/>
    <w:rsid w:val="0064675F"/>
    <w:rsid w:val="00654973"/>
    <w:rsid w:val="006556BA"/>
    <w:rsid w:val="0065633D"/>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91BFA"/>
    <w:rsid w:val="007A0B59"/>
    <w:rsid w:val="007A7B79"/>
    <w:rsid w:val="007B0817"/>
    <w:rsid w:val="007D0A4D"/>
    <w:rsid w:val="007D427A"/>
    <w:rsid w:val="007D471B"/>
    <w:rsid w:val="007F2BE7"/>
    <w:rsid w:val="007F4F1D"/>
    <w:rsid w:val="0080224A"/>
    <w:rsid w:val="00805374"/>
    <w:rsid w:val="00813119"/>
    <w:rsid w:val="00821EC3"/>
    <w:rsid w:val="00824B4C"/>
    <w:rsid w:val="00830A20"/>
    <w:rsid w:val="00835677"/>
    <w:rsid w:val="0084776C"/>
    <w:rsid w:val="008550CE"/>
    <w:rsid w:val="008628D7"/>
    <w:rsid w:val="008629E4"/>
    <w:rsid w:val="00863698"/>
    <w:rsid w:val="008646CB"/>
    <w:rsid w:val="00864916"/>
    <w:rsid w:val="008677A8"/>
    <w:rsid w:val="00870E86"/>
    <w:rsid w:val="00883277"/>
    <w:rsid w:val="008871FC"/>
    <w:rsid w:val="008879B4"/>
    <w:rsid w:val="00887C10"/>
    <w:rsid w:val="00892B73"/>
    <w:rsid w:val="0089759B"/>
    <w:rsid w:val="008A2572"/>
    <w:rsid w:val="008A257A"/>
    <w:rsid w:val="008B0E12"/>
    <w:rsid w:val="008C258D"/>
    <w:rsid w:val="008C6BF3"/>
    <w:rsid w:val="008D5589"/>
    <w:rsid w:val="008E0B35"/>
    <w:rsid w:val="008E2A65"/>
    <w:rsid w:val="008F270E"/>
    <w:rsid w:val="008F7FBA"/>
    <w:rsid w:val="009143D9"/>
    <w:rsid w:val="009476EC"/>
    <w:rsid w:val="00950A1A"/>
    <w:rsid w:val="00953091"/>
    <w:rsid w:val="009610C6"/>
    <w:rsid w:val="00963B71"/>
    <w:rsid w:val="00972B53"/>
    <w:rsid w:val="00975430"/>
    <w:rsid w:val="009779B2"/>
    <w:rsid w:val="009850AF"/>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BEF"/>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5B2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21B3"/>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E0085"/>
    <w:rsid w:val="00CF134B"/>
    <w:rsid w:val="00D01CA9"/>
    <w:rsid w:val="00D0379C"/>
    <w:rsid w:val="00D048E5"/>
    <w:rsid w:val="00D122BE"/>
    <w:rsid w:val="00D20956"/>
    <w:rsid w:val="00D25CB9"/>
    <w:rsid w:val="00D436B2"/>
    <w:rsid w:val="00D44222"/>
    <w:rsid w:val="00D44509"/>
    <w:rsid w:val="00D449E3"/>
    <w:rsid w:val="00D44A6F"/>
    <w:rsid w:val="00D51E2B"/>
    <w:rsid w:val="00D5568A"/>
    <w:rsid w:val="00D61F78"/>
    <w:rsid w:val="00D71877"/>
    <w:rsid w:val="00D74120"/>
    <w:rsid w:val="00D74445"/>
    <w:rsid w:val="00D75373"/>
    <w:rsid w:val="00D75784"/>
    <w:rsid w:val="00D7703F"/>
    <w:rsid w:val="00DA44C3"/>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CD"/>
    <w:rsid w:val="00E27FF0"/>
    <w:rsid w:val="00E322AA"/>
    <w:rsid w:val="00E43E30"/>
    <w:rsid w:val="00E47D56"/>
    <w:rsid w:val="00E50D40"/>
    <w:rsid w:val="00E62006"/>
    <w:rsid w:val="00E65491"/>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F03204"/>
    <w:rsid w:val="00F07747"/>
    <w:rsid w:val="00F07BA1"/>
    <w:rsid w:val="00F12A5E"/>
    <w:rsid w:val="00F2551E"/>
    <w:rsid w:val="00F25C60"/>
    <w:rsid w:val="00F34984"/>
    <w:rsid w:val="00F37885"/>
    <w:rsid w:val="00F4236B"/>
    <w:rsid w:val="00F561D5"/>
    <w:rsid w:val="00F56992"/>
    <w:rsid w:val="00F658FD"/>
    <w:rsid w:val="00F6610E"/>
    <w:rsid w:val="00F66271"/>
    <w:rsid w:val="00F677A4"/>
    <w:rsid w:val="00F738A0"/>
    <w:rsid w:val="00F74097"/>
    <w:rsid w:val="00F8232F"/>
    <w:rsid w:val="00F83D57"/>
    <w:rsid w:val="00F860AD"/>
    <w:rsid w:val="00F9029E"/>
    <w:rsid w:val="00F914B8"/>
    <w:rsid w:val="00F974AE"/>
    <w:rsid w:val="00FA075F"/>
    <w:rsid w:val="00FA07ED"/>
    <w:rsid w:val="00FA1EBC"/>
    <w:rsid w:val="00FA3BB8"/>
    <w:rsid w:val="00FB06BA"/>
    <w:rsid w:val="00FB1093"/>
    <w:rsid w:val="00FB1895"/>
    <w:rsid w:val="00FB2F6A"/>
    <w:rsid w:val="00FB66EA"/>
    <w:rsid w:val="00FC3196"/>
    <w:rsid w:val="00FC342C"/>
    <w:rsid w:val="00FC628B"/>
    <w:rsid w:val="00FE4BAF"/>
    <w:rsid w:val="00FE7115"/>
    <w:rsid w:val="00FF3307"/>
    <w:rsid w:val="00FF4243"/>
    <w:rsid w:val="00FF4B5B"/>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8D"/>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A8D"/>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2"/>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3"/>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1"/>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uri=CELEX%3A32003R0450&amp;qid=1620646702602" TargetMode="External"/><Relationship Id="rId18" Type="http://schemas.openxmlformats.org/officeDocument/2006/relationships/hyperlink" Target="https://stat.gov.lv/lv/meklet?Search=%22%22&amp;DataSource=%22data%22&amp;Themes=%225054%22" TargetMode="External"/><Relationship Id="rId26" Type="http://schemas.openxmlformats.org/officeDocument/2006/relationships/hyperlink" Target="https://ec.europa.eu/eurostat/cache/scoreboards/BSP/" TargetMode="External"/><Relationship Id="rId21" Type="http://schemas.openxmlformats.org/officeDocument/2006/relationships/hyperlink" Target="https://stat.gov.lv/lv/statistikas-temas/darbs/alga" TargetMode="External"/><Relationship Id="rId34" Type="http://schemas.openxmlformats.org/officeDocument/2006/relationships/hyperlink" Target="https://eur-lex.europa.eu/legal-content/LV/TXT/?uri=celex%3A32016R0679"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74749" TargetMode="External"/><Relationship Id="rId17" Type="http://schemas.openxmlformats.org/officeDocument/2006/relationships/hyperlink" Target="https://stat.gov.lv/lv/meklet?Search=%22%22&amp;DataSource=%22data%22&amp;Themes=%225053%22" TargetMode="External"/><Relationship Id="rId25" Type="http://schemas.openxmlformats.org/officeDocument/2006/relationships/hyperlink" Target="http://ec.europa.eu/eurostat/data/database?node_code=jvs_q_nace2" TargetMode="External"/><Relationship Id="rId33" Type="http://schemas.openxmlformats.org/officeDocument/2006/relationships/hyperlink" Target="https://www.ilo.org/global/lang--en/index.htm" TargetMode="External"/><Relationship Id="rId2" Type="http://schemas.openxmlformats.org/officeDocument/2006/relationships/numbering" Target="numbering.xml"/><Relationship Id="rId16" Type="http://schemas.openxmlformats.org/officeDocument/2006/relationships/hyperlink" Target="https://stat.gov.lv/lv/meklet?Search=%22%22&amp;DataSource=%22data%22&amp;Themes=%222491%22" TargetMode="External"/><Relationship Id="rId20" Type="http://schemas.openxmlformats.org/officeDocument/2006/relationships/hyperlink" Target="https://stat.gov.lv/lv/meklet?Search=%22%22&amp;DataSource=%22data%22&amp;Themes=%222332%22" TargetMode="External"/><Relationship Id="rId29" Type="http://schemas.openxmlformats.org/officeDocument/2006/relationships/hyperlink" Target="https://data.oecd.org/earnwage/average-wages.ht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hyperlink" Target="http://ec.europa.eu/eurostat/data/database?node_code=lc_lci_r2_q" TargetMode="External"/><Relationship Id="rId32" Type="http://schemas.openxmlformats.org/officeDocument/2006/relationships/hyperlink" Target="http://data.un.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87576-oficialas-statistikas-veidlapu-paraugu-apstiprinasanas-un-veidlapu-aizpildisanas-un-iesniegsanas-noteikumi" TargetMode="External"/><Relationship Id="rId23" Type="http://schemas.openxmlformats.org/officeDocument/2006/relationships/hyperlink" Target="http://ec.europa.eu/eurostat/data/database?node_code=sts_inlb_q" TargetMode="External"/><Relationship Id="rId28" Type="http://schemas.openxmlformats.org/officeDocument/2006/relationships/hyperlink" Target="https://www.makroekonomika.lv/tautsaimniecibas-raditaji" TargetMode="External"/><Relationship Id="rId36" Type="http://schemas.openxmlformats.org/officeDocument/2006/relationships/fontTable" Target="fontTable.xml"/><Relationship Id="rId10" Type="http://schemas.openxmlformats.org/officeDocument/2006/relationships/hyperlink" Target="https://eur-lex.europa.eu/legal-content/LV/TXT/?uri=CELEX%3A32019R2152&amp;qid=1620649183861" TargetMode="External"/><Relationship Id="rId19" Type="http://schemas.openxmlformats.org/officeDocument/2006/relationships/hyperlink" Target="https://stat.gov.lv/lv/meklet?Search=%22%22&amp;DataSource=%22data%22&amp;Themes=%222331%22" TargetMode="External"/><Relationship Id="rId31" Type="http://schemas.openxmlformats.org/officeDocument/2006/relationships/hyperlink" Target="https://www.imf.org/en/Data" TargetMode="External"/><Relationship Id="rId4" Type="http://schemas.openxmlformats.org/officeDocument/2006/relationships/settings" Target="settings.xml"/><Relationship Id="rId9" Type="http://schemas.openxmlformats.org/officeDocument/2006/relationships/hyperlink" Target="https://eur-lex.europa.eu/legal-content/LV/TXT/?uri=CELEX%3A32008R0453&amp;qid=1620649007992" TargetMode="External"/><Relationship Id="rId14" Type="http://schemas.openxmlformats.org/officeDocument/2006/relationships/hyperlink" Target="https://eur-lex.europa.eu/legal-content/LV/TXT/?uri=CELEX%3A32008R0453&amp;qid=1620646767314" TargetMode="External"/><Relationship Id="rId22" Type="http://schemas.openxmlformats.org/officeDocument/2006/relationships/hyperlink" Target="https://stat.gov.lv/lv/meklet?Search=%22informat%C4%ABvie+apskati%22&amp;DataSource=%22publications%22&amp;Themes=%22136%22" TargetMode="External"/><Relationship Id="rId27" Type="http://schemas.openxmlformats.org/officeDocument/2006/relationships/hyperlink" Target="https://www.em.gov.lv/lv/ekonomiska-attistiba" TargetMode="External"/><Relationship Id="rId30" Type="http://schemas.openxmlformats.org/officeDocument/2006/relationships/hyperlink" Target="https://www.ecb.europa.eu/stats/macroeconomic_and_sectoral/labour_markets/html/index.en.html" TargetMode="External"/><Relationship Id="rId35" Type="http://schemas.openxmlformats.org/officeDocument/2006/relationships/hyperlink" Target="https://www.csp.gov.lv/lv/informacijas-drosiba-un-datu-aizsardziba" TargetMode="External"/><Relationship Id="rId8" Type="http://schemas.openxmlformats.org/officeDocument/2006/relationships/hyperlink" Target="https://eur-lex.europa.eu/legal-content/LV/TXT/?uri=CELEX%3A32003R0450&amp;qid=1620648953413"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7418</Words>
  <Characters>4229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14</cp:revision>
  <cp:lastPrinted>2024-10-25T07:05:00Z</cp:lastPrinted>
  <dcterms:created xsi:type="dcterms:W3CDTF">2021-07-01T13:54:00Z</dcterms:created>
  <dcterms:modified xsi:type="dcterms:W3CDTF">2026-02-13T09:01:00Z</dcterms:modified>
</cp:coreProperties>
</file>