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4"/>
            <w:vAlign w:val="center"/>
          </w:tcPr>
          <w:p w14:paraId="32F318C6" w14:textId="77777777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24F87348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723D01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AC9E51" w14:textId="54926E8C" w:rsidR="00232549" w:rsidRPr="0056584D" w:rsidRDefault="00232549" w:rsidP="0023254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Pr="0056584D">
                <w:rPr>
                  <w:rFonts w:ascii="Calibri" w:hAnsi="Calibri"/>
                  <w:bCs/>
                  <w:sz w:val="22"/>
                </w:rPr>
                <w:t>https</w:t>
              </w:r>
              <w:r w:rsidRPr="0056584D">
                <w:rPr>
                  <w:rFonts w:ascii="Calibri" w:hAnsi="Calibri"/>
                  <w:sz w:val="22"/>
                </w:rPr>
                <w:t>://</w:t>
              </w:r>
              <w:r w:rsidRPr="0056584D">
                <w:rPr>
                  <w:rFonts w:ascii="Calibri" w:hAnsi="Calibri"/>
                  <w:bCs/>
                  <w:sz w:val="22"/>
                </w:rPr>
                <w:t>e.csb.gov.lv</w:t>
              </w:r>
            </w:hyperlink>
          </w:p>
          <w:p w14:paraId="33423EB3" w14:textId="7777777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3CE7AB9D" w14:textId="7EAAE20B" w:rsidR="00350479" w:rsidRPr="00963509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63509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963509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963509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963509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96350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963509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963509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7"/>
            <w:vAlign w:val="center"/>
          </w:tcPr>
          <w:p w14:paraId="1F405F0F" w14:textId="7B155DAA" w:rsidR="004D2FB2" w:rsidRPr="00963509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96350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96350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963509">
              <w:rPr>
                <w:rFonts w:ascii="Calibri" w:hAnsi="Calibri" w:cs="Calibri"/>
                <w:b/>
                <w:i/>
                <w:szCs w:val="24"/>
              </w:rPr>
              <w:t>21</w:t>
            </w:r>
            <w:r w:rsidR="002F6E90" w:rsidRPr="0096350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96350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963509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96350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96350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963509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77777777" w:rsidR="00381A7A" w:rsidRPr="006D11DE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17A079CD" w14:textId="77777777" w:rsidTr="006812B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727D493" w14:textId="77777777" w:rsidR="0009204F" w:rsidRPr="006D11DE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12F07B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52A742E7" w:rsidR="00771787" w:rsidRPr="0093190C" w:rsidRDefault="0093190C" w:rsidP="00723D01">
            <w:pPr>
              <w:ind w:right="-33"/>
              <w:rPr>
                <w:rFonts w:ascii="Calibri" w:hAnsi="Calibri" w:cs="Calibri"/>
                <w:sz w:val="20"/>
                <w:szCs w:val="22"/>
              </w:rPr>
            </w:pPr>
            <w:hyperlink r:id="rId10" w:history="1"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 xml:space="preserve">Veidlapas aizpildīšanas norādījumi atrodami CSP mājaslapā 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br/>
                <w:t xml:space="preserve">(Aptaujas un </w:t>
              </w:r>
              <w:proofErr w:type="spellStart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apsekojumi</w:t>
              </w:r>
              <w:proofErr w:type="spellEnd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/Veidlapu katalogs/Finanšu aktīvi un pasīvi 2020.gadā (vai Indekss: 1-FAP)/Norādījumi).</w:t>
              </w:r>
            </w:hyperlink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182CB5A0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</w:t>
      </w:r>
      <w:r w:rsidR="00517005" w:rsidRPr="00963509">
        <w:rPr>
          <w:rFonts w:ascii="Calibri" w:hAnsi="Calibri" w:cs="Calibri"/>
          <w:sz w:val="20"/>
          <w:szCs w:val="22"/>
        </w:rPr>
        <w:t>21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D5EE1" w14:textId="77777777" w:rsidR="007633D4" w:rsidRDefault="007633D4">
      <w:r>
        <w:separator/>
      </w:r>
    </w:p>
  </w:endnote>
  <w:endnote w:type="continuationSeparator" w:id="0">
    <w:p w14:paraId="1988E204" w14:textId="77777777" w:rsidR="007633D4" w:rsidRDefault="0076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04332" w14:textId="77777777" w:rsidR="007633D4" w:rsidRDefault="007633D4">
      <w:r>
        <w:separator/>
      </w:r>
    </w:p>
  </w:footnote>
  <w:footnote w:type="continuationSeparator" w:id="0">
    <w:p w14:paraId="4455BDBB" w14:textId="77777777" w:rsidR="007633D4" w:rsidRDefault="0076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20"/>
  </w:num>
  <w:num w:numId="8">
    <w:abstractNumId w:val="6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8"/>
  </w:num>
  <w:num w:numId="14">
    <w:abstractNumId w:val="7"/>
  </w:num>
  <w:num w:numId="15">
    <w:abstractNumId w:val="22"/>
  </w:num>
  <w:num w:numId="16">
    <w:abstractNumId w:val="10"/>
  </w:num>
  <w:num w:numId="17">
    <w:abstractNumId w:val="8"/>
  </w:num>
  <w:num w:numId="18">
    <w:abstractNumId w:val="1"/>
  </w:num>
  <w:num w:numId="19">
    <w:abstractNumId w:val="19"/>
  </w:num>
  <w:num w:numId="20">
    <w:abstractNumId w:val="15"/>
  </w:num>
  <w:num w:numId="21">
    <w:abstractNumId w:val="2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B5106"/>
    <w:rsid w:val="002D4F17"/>
    <w:rsid w:val="002E143D"/>
    <w:rsid w:val="002E2F89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67D7"/>
    <w:rsid w:val="004D2FB2"/>
    <w:rsid w:val="004E2217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6F3AFF"/>
    <w:rsid w:val="00704415"/>
    <w:rsid w:val="00716AB9"/>
    <w:rsid w:val="00723D01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190C"/>
    <w:rsid w:val="00935124"/>
    <w:rsid w:val="009363A3"/>
    <w:rsid w:val="00940719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  <w:style w:type="character" w:styleId="UnresolvedMention">
    <w:name w:val="Unresolved Mention"/>
    <w:basedOn w:val="DefaultParagraphFont"/>
    <w:uiPriority w:val="99"/>
    <w:semiHidden/>
    <w:unhideWhenUsed/>
    <w:rsid w:val="0072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p.gov.lv/lv/katalo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2105</Words>
  <Characters>16558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18626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4</cp:revision>
  <cp:lastPrinted>2014-11-19T08:51:00Z</cp:lastPrinted>
  <dcterms:created xsi:type="dcterms:W3CDTF">2020-10-27T14:02:00Z</dcterms:created>
  <dcterms:modified xsi:type="dcterms:W3CDTF">2021-03-11T08:32:00Z</dcterms:modified>
</cp:coreProperties>
</file>