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7874E5AB" w:rsidR="0051672D" w:rsidRPr="00883277" w:rsidRDefault="0048710D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elektriskā transporta darbu” (1-elektrotransports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2E5C9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2E5C9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2E5C9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2E5C9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2E5C9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2E5C9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2E5C9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2E5C97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6AED724D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="00D13A81" w:rsidRPr="002E5C97">
          <w:rPr>
            <w:rStyle w:val="Hyperlink"/>
          </w:rPr>
          <w:t>Oficiālās statistikas programmas</w:t>
        </w:r>
      </w:hyperlink>
      <w:r w:rsidR="00D13A81">
        <w:t xml:space="preserve"> </w:t>
      </w:r>
      <w:r w:rsidRPr="00CF6881">
        <w:t>pie</w:t>
      </w:r>
      <w:r w:rsidRPr="009404C8">
        <w:t xml:space="preserve">likuma </w:t>
      </w:r>
      <w:r w:rsidR="0048710D" w:rsidRPr="00A46D52">
        <w:rPr>
          <w:szCs w:val="20"/>
        </w:rPr>
        <w:t>24. punktā (Transporta statistika)</w:t>
      </w:r>
      <w:r w:rsidRPr="0048710D">
        <w:t>.</w:t>
      </w:r>
    </w:p>
    <w:p w14:paraId="72A32E49" w14:textId="200085B0" w:rsidR="00381049" w:rsidRDefault="00D03554" w:rsidP="00214288">
      <w:pPr>
        <w:rPr>
          <w:bCs/>
          <w:color w:val="000000"/>
        </w:rPr>
      </w:pPr>
      <w:r>
        <w:t>Ikviena</w:t>
      </w:r>
      <w:r w:rsidR="0048710D">
        <w:t xml:space="preserve"> uzņēmuma </w:t>
      </w:r>
      <w:r w:rsidR="00500178">
        <w:t xml:space="preserve">sniegtie </w:t>
      </w:r>
      <w:r w:rsidR="0048710D">
        <w:t xml:space="preserve">dati tiek izmantoti, lai iegūtu statistisko informāciju par </w:t>
      </w:r>
      <w:bookmarkStart w:id="2" w:name="_Hlk51049797"/>
      <w:r w:rsidR="0048710D">
        <w:t>pilsētu elektrotransportā izmantoto transportlīdzekļu skaitu</w:t>
      </w:r>
      <w:bookmarkEnd w:id="2"/>
      <w:r w:rsidR="0048710D">
        <w:t>, līniju garumu, maršrutu skaitu un transportlīdzekļu izmantošanas rādītājiem.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3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3"/>
    </w:p>
    <w:p w14:paraId="5DCFCEB5" w14:textId="397CA90A" w:rsidR="00FB66EA" w:rsidRPr="00F33D0A" w:rsidRDefault="00F34984" w:rsidP="0048710D">
      <w:r w:rsidRPr="00C13E38">
        <w:t>Oficiālo statistiku nodrošin</w:t>
      </w:r>
      <w:r w:rsidR="007B0817">
        <w:t>a</w:t>
      </w:r>
      <w:r w:rsidRPr="00C13E38">
        <w:t>, lai izpildītu š</w:t>
      </w:r>
      <w:r w:rsidR="0048710D">
        <w:t>o</w:t>
      </w:r>
      <w:r w:rsidRPr="00C13E38">
        <w:t xml:space="preserve"> </w:t>
      </w:r>
      <w:r w:rsidR="00322F85" w:rsidRPr="00C13E38">
        <w:t>tiesību aktu:</w:t>
      </w:r>
    </w:p>
    <w:p w14:paraId="276BD1E0" w14:textId="3DF1A9EB" w:rsidR="00156802" w:rsidRDefault="0048710D" w:rsidP="0048710D">
      <w:pPr>
        <w:pStyle w:val="NoSpacing"/>
      </w:pPr>
      <w:r>
        <w:t>Džentlmeņu vienošan</w:t>
      </w:r>
      <w:r w:rsidR="00082CFE">
        <w:t>os</w:t>
      </w:r>
      <w:r>
        <w:t xml:space="preserve"> ar Eiropas Savienības statistikas biroju (</w:t>
      </w:r>
      <w:r w:rsidR="008F3954">
        <w:t>Eurostat</w:t>
      </w:r>
      <w:r>
        <w:t>), Starptautisko transporta organizāciju (ITF) un Apvienoto Nāciju organizācijas Eiropas Ekonomikas komisiju (UNECE).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4" w:name="_Toc70071549"/>
      <w:r>
        <w:lastRenderedPageBreak/>
        <w:t>Kur ir noteikts p</w:t>
      </w:r>
      <w:r w:rsidR="00E47D56" w:rsidRPr="00F37885">
        <w:t>ienākums iesniegt datus</w:t>
      </w:r>
      <w:r>
        <w:t>?</w:t>
      </w:r>
      <w:bookmarkEnd w:id="4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5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5"/>
    </w:p>
    <w:p w14:paraId="584FBD34" w14:textId="67A94AF9" w:rsidR="00381049" w:rsidRDefault="0048710D" w:rsidP="00CF0D9F"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6" w:name="_Toc70071551"/>
      <w:r>
        <w:t>Kam ir jāiesniedz dati?</w:t>
      </w:r>
      <w:bookmarkEnd w:id="6"/>
    </w:p>
    <w:p w14:paraId="71539DD3" w14:textId="23E85E94" w:rsidR="00D20956" w:rsidRPr="00F33D0A" w:rsidRDefault="0048710D" w:rsidP="00CF0D9F">
      <w:r>
        <w:rPr>
          <w:rFonts w:cs="Open Sans"/>
          <w:color w:val="000000" w:themeColor="text1"/>
        </w:rPr>
        <w:t xml:space="preserve">Apsekojumā iekļauj </w:t>
      </w:r>
      <w:r>
        <w:t>elektrotransporta uzņēmumus, kas veic pasažieru     pārvadājumus pilsētās</w:t>
      </w:r>
      <w:r>
        <w:rPr>
          <w:rFonts w:cs="Times New Roman"/>
        </w:rPr>
        <w:t>.</w:t>
      </w:r>
    </w:p>
    <w:p w14:paraId="7017449D" w14:textId="77777777" w:rsidR="0017463E" w:rsidRDefault="00F33D0A" w:rsidP="005C1C98">
      <w:r w:rsidRPr="009E389F">
        <w:t xml:space="preserve">Izlases izveidošanas </w:t>
      </w:r>
      <w:r>
        <w:t>standarts</w:t>
      </w:r>
      <w:r w:rsidRPr="009E389F">
        <w:t>:</w:t>
      </w:r>
    </w:p>
    <w:p w14:paraId="60F4269A" w14:textId="4172E711" w:rsidR="00F33D0A" w:rsidRPr="005C1C98" w:rsidRDefault="005C1C98" w:rsidP="0017463E">
      <w:pPr>
        <w:pStyle w:val="NoSpacing"/>
        <w:rPr>
          <w:rFonts w:ascii="Calibri" w:hAnsi="Calibri"/>
        </w:rPr>
      </w:pPr>
      <w:r w:rsidRPr="005C1C98">
        <w:t xml:space="preserve">Izlases apjoms un tajā ietveramās nozares izriet no </w:t>
      </w:r>
      <w:hyperlink r:id="rId9" w:history="1">
        <w:r w:rsidRPr="005C1C98">
          <w:rPr>
            <w:rStyle w:val="Hyperlink"/>
          </w:rPr>
          <w:t>Ministru kabineta 2016. gada 20. decembra noteikumiem Nr. 812</w:t>
        </w:r>
      </w:hyperlink>
      <w:r w:rsidRPr="005C1C98">
        <w:t xml:space="preserve"> ”Oficiālās statistikas veidlapu paraugu apstiprināšanas un veidlapu aizpildīšanas un iesniegšanas noteikumi”</w:t>
      </w:r>
      <w:r>
        <w:t>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7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7"/>
    </w:p>
    <w:p w14:paraId="05B85EA7" w14:textId="051723B4" w:rsidR="0048710D" w:rsidRPr="0048710D" w:rsidRDefault="0048710D" w:rsidP="00137BAD">
      <w:pPr>
        <w:pStyle w:val="NoSpacing"/>
        <w:rPr>
          <w:rFonts w:cs="Times New Roman"/>
        </w:rPr>
      </w:pPr>
      <w:bookmarkStart w:id="8" w:name="_Toc40698654"/>
      <w:r>
        <w:t>Oficiālās statistikas portālā - dati par pilsētu elektrotransportā izmantoto transportlīdzekļu skaitu un līniju garumu</w:t>
      </w:r>
      <w:r w:rsidRPr="0048710D">
        <w:rPr>
          <w:rFonts w:cs="Times New Roman"/>
        </w:rPr>
        <w:t>:</w:t>
      </w:r>
    </w:p>
    <w:bookmarkStart w:id="9" w:name="_Hlk51050557"/>
    <w:p w14:paraId="029729C0" w14:textId="4528DDB5" w:rsidR="0084713F" w:rsidRDefault="0084713F" w:rsidP="0048710D">
      <w:pPr>
        <w:pStyle w:val="NoSpacing"/>
        <w:numPr>
          <w:ilvl w:val="1"/>
          <w:numId w:val="40"/>
        </w:numPr>
        <w:rPr>
          <w:rFonts w:cs="Times New Roman"/>
          <w:szCs w:val="20"/>
        </w:rPr>
      </w:pPr>
      <w:r>
        <w:rPr>
          <w:rFonts w:cs="Times New Roman"/>
          <w:szCs w:val="20"/>
        </w:rPr>
        <w:fldChar w:fldCharType="begin"/>
      </w:r>
      <w:r>
        <w:rPr>
          <w:rFonts w:cs="Times New Roman"/>
          <w:szCs w:val="20"/>
        </w:rPr>
        <w:instrText xml:space="preserve"> HYPERLINK "https://stat.gov.lv/lv/statistikas-temas/noz/transports/tabulas/trs010-satiksmes-celu-garums-gada-beigas-km?themeCode=TR" </w:instrText>
      </w:r>
      <w:r>
        <w:rPr>
          <w:rFonts w:cs="Times New Roman"/>
          <w:szCs w:val="20"/>
        </w:rPr>
      </w:r>
      <w:r>
        <w:rPr>
          <w:rFonts w:cs="Times New Roman"/>
          <w:szCs w:val="20"/>
        </w:rPr>
        <w:fldChar w:fldCharType="separate"/>
      </w:r>
      <w:r w:rsidRPr="0084713F">
        <w:rPr>
          <w:rStyle w:val="Hyperlink"/>
          <w:rFonts w:cs="Times New Roman"/>
          <w:szCs w:val="20"/>
        </w:rPr>
        <w:t>Satiksmes ceļu garums gada beigās (km)</w:t>
      </w:r>
      <w:r>
        <w:rPr>
          <w:rFonts w:cs="Times New Roman"/>
          <w:szCs w:val="20"/>
        </w:rPr>
        <w:fldChar w:fldCharType="end"/>
      </w:r>
    </w:p>
    <w:p w14:paraId="50EC21B2" w14:textId="24B59C38" w:rsidR="0048710D" w:rsidRPr="005C1C98" w:rsidRDefault="002E5C97" w:rsidP="0048710D">
      <w:pPr>
        <w:pStyle w:val="NoSpacing"/>
        <w:numPr>
          <w:ilvl w:val="1"/>
          <w:numId w:val="40"/>
        </w:numPr>
        <w:rPr>
          <w:rStyle w:val="Hyperlink"/>
          <w:rFonts w:cs="Times New Roman"/>
          <w:szCs w:val="20"/>
        </w:rPr>
      </w:pPr>
      <w:hyperlink r:id="rId10" w:history="1">
        <w:r w:rsidR="00354879">
          <w:rPr>
            <w:rStyle w:val="Hyperlink"/>
          </w:rPr>
          <w:t>Transporta līdzekļu skaits gada beigās</w:t>
        </w:r>
      </w:hyperlink>
    </w:p>
    <w:bookmarkEnd w:id="9"/>
    <w:p w14:paraId="438F1029" w14:textId="4315FA1E" w:rsidR="00381049" w:rsidRPr="00F914B8" w:rsidRDefault="0048710D" w:rsidP="0048710D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(Eurostat)</w:t>
      </w:r>
      <w:r>
        <w:rPr>
          <w:rFonts w:cs="Times New Roman"/>
          <w:bCs/>
          <w:szCs w:val="20"/>
        </w:rPr>
        <w:t xml:space="preserve"> </w:t>
      </w:r>
      <w:hyperlink r:id="rId11" w:history="1">
        <w:r>
          <w:rPr>
            <w:rStyle w:val="Hyperlink"/>
            <w:rFonts w:cs="Times New Roman"/>
            <w:bCs/>
            <w:szCs w:val="20"/>
          </w:rPr>
          <w:t>datubāzēs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0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8"/>
      <w:r>
        <w:t>?</w:t>
      </w:r>
      <w:bookmarkEnd w:id="10"/>
    </w:p>
    <w:p w14:paraId="3CB4F6A1" w14:textId="5CB25956" w:rsidR="00381049" w:rsidRPr="00FB06BA" w:rsidRDefault="0048710D" w:rsidP="0048710D">
      <w:pPr>
        <w:pStyle w:val="NoSpacing"/>
        <w:rPr>
          <w:b/>
        </w:rPr>
      </w:pPr>
      <w:r>
        <w:rPr>
          <w:bCs/>
          <w:color w:val="000000" w:themeColor="text1"/>
          <w:szCs w:val="20"/>
        </w:rPr>
        <w:t xml:space="preserve">Apvienoto Nāciju organizācijas Eiropas Ekonomikas komisija </w:t>
      </w:r>
      <w:r w:rsidRPr="0048710D">
        <w:rPr>
          <w:bCs/>
          <w:szCs w:val="20"/>
        </w:rPr>
        <w:t>(</w:t>
      </w:r>
      <w:hyperlink r:id="rId12" w:history="1">
        <w:r w:rsidRPr="0048710D">
          <w:rPr>
            <w:rStyle w:val="Hyperlink"/>
          </w:rPr>
          <w:t>UNECE</w:t>
        </w:r>
      </w:hyperlink>
      <w:r w:rsidRPr="0048710D">
        <w:rPr>
          <w:bCs/>
          <w:szCs w:val="20"/>
        </w:rPr>
        <w:t>)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1" w:name="_Toc70071554"/>
      <w:r>
        <w:t>Vai Pārvalde ievēro d</w:t>
      </w:r>
      <w:r w:rsidR="00CB2A49" w:rsidRPr="00C13E38">
        <w:t>atu konfidencialitāt</w:t>
      </w:r>
      <w:r>
        <w:t>i?</w:t>
      </w:r>
      <w:bookmarkEnd w:id="11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2" w:name="_Toc70071555"/>
      <w:r>
        <w:lastRenderedPageBreak/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2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3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4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96" type="#_x0000_t75" style="width:1in;height:71pt" o:bullet="t">
        <v:imagedata r:id="rId1" o:title="simbols"/>
      </v:shape>
    </w:pict>
  </w:numPicBullet>
  <w:abstractNum w:abstractNumId="0" w15:restartNumberingAfterBreak="0">
    <w:nsid w:val="0301725D"/>
    <w:multiLevelType w:val="hybridMultilevel"/>
    <w:tmpl w:val="45A40B2C"/>
    <w:lvl w:ilvl="0" w:tplc="6592018C">
      <w:numFmt w:val="bullet"/>
      <w:lvlText w:val=""/>
      <w:lvlJc w:val="left"/>
      <w:pPr>
        <w:ind w:left="163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49A045D"/>
    <w:multiLevelType w:val="hybridMultilevel"/>
    <w:tmpl w:val="1A22E2C6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155F10"/>
    <w:multiLevelType w:val="hybridMultilevel"/>
    <w:tmpl w:val="58320A34"/>
    <w:lvl w:ilvl="0" w:tplc="72325F7A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2D525BA"/>
    <w:multiLevelType w:val="hybridMultilevel"/>
    <w:tmpl w:val="28A81966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1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22835152">
    <w:abstractNumId w:val="17"/>
  </w:num>
  <w:num w:numId="2" w16cid:durableId="239101731">
    <w:abstractNumId w:val="30"/>
  </w:num>
  <w:num w:numId="3" w16cid:durableId="907302221">
    <w:abstractNumId w:val="22"/>
  </w:num>
  <w:num w:numId="4" w16cid:durableId="821702440">
    <w:abstractNumId w:val="23"/>
  </w:num>
  <w:num w:numId="5" w16cid:durableId="286664609">
    <w:abstractNumId w:val="31"/>
  </w:num>
  <w:num w:numId="6" w16cid:durableId="1212307716">
    <w:abstractNumId w:val="29"/>
  </w:num>
  <w:num w:numId="7" w16cid:durableId="1412698131">
    <w:abstractNumId w:val="17"/>
  </w:num>
  <w:num w:numId="8" w16cid:durableId="2073195522">
    <w:abstractNumId w:val="17"/>
  </w:num>
  <w:num w:numId="9" w16cid:durableId="235239616">
    <w:abstractNumId w:val="17"/>
  </w:num>
  <w:num w:numId="10" w16cid:durableId="915045899">
    <w:abstractNumId w:val="17"/>
  </w:num>
  <w:num w:numId="11" w16cid:durableId="97801662">
    <w:abstractNumId w:val="1"/>
  </w:num>
  <w:num w:numId="12" w16cid:durableId="1364331279">
    <w:abstractNumId w:val="22"/>
  </w:num>
  <w:num w:numId="13" w16cid:durableId="2021085609">
    <w:abstractNumId w:val="11"/>
  </w:num>
  <w:num w:numId="14" w16cid:durableId="1512066838">
    <w:abstractNumId w:val="6"/>
  </w:num>
  <w:num w:numId="15" w16cid:durableId="909265314">
    <w:abstractNumId w:val="19"/>
  </w:num>
  <w:num w:numId="16" w16cid:durableId="1480539602">
    <w:abstractNumId w:val="3"/>
  </w:num>
  <w:num w:numId="17" w16cid:durableId="1258171109">
    <w:abstractNumId w:val="23"/>
  </w:num>
  <w:num w:numId="18" w16cid:durableId="2138716249">
    <w:abstractNumId w:val="23"/>
  </w:num>
  <w:num w:numId="19" w16cid:durableId="808326205">
    <w:abstractNumId w:val="9"/>
  </w:num>
  <w:num w:numId="20" w16cid:durableId="39669008">
    <w:abstractNumId w:val="32"/>
  </w:num>
  <w:num w:numId="21" w16cid:durableId="1199396593">
    <w:abstractNumId w:val="10"/>
  </w:num>
  <w:num w:numId="22" w16cid:durableId="1142700036">
    <w:abstractNumId w:val="24"/>
  </w:num>
  <w:num w:numId="23" w16cid:durableId="1232735786">
    <w:abstractNumId w:val="4"/>
  </w:num>
  <w:num w:numId="24" w16cid:durableId="1537110883">
    <w:abstractNumId w:val="8"/>
  </w:num>
  <w:num w:numId="25" w16cid:durableId="929242407">
    <w:abstractNumId w:val="2"/>
  </w:num>
  <w:num w:numId="26" w16cid:durableId="1250236487">
    <w:abstractNumId w:val="27"/>
  </w:num>
  <w:num w:numId="27" w16cid:durableId="1652784652">
    <w:abstractNumId w:val="18"/>
  </w:num>
  <w:num w:numId="28" w16cid:durableId="2128429635">
    <w:abstractNumId w:val="7"/>
  </w:num>
  <w:num w:numId="29" w16cid:durableId="1610775855">
    <w:abstractNumId w:val="16"/>
  </w:num>
  <w:num w:numId="30" w16cid:durableId="74716027">
    <w:abstractNumId w:val="25"/>
  </w:num>
  <w:num w:numId="31" w16cid:durableId="1200970300">
    <w:abstractNumId w:val="26"/>
  </w:num>
  <w:num w:numId="32" w16cid:durableId="1216505787">
    <w:abstractNumId w:val="14"/>
  </w:num>
  <w:num w:numId="33" w16cid:durableId="643775138">
    <w:abstractNumId w:val="28"/>
  </w:num>
  <w:num w:numId="34" w16cid:durableId="1078869562">
    <w:abstractNumId w:val="21"/>
  </w:num>
  <w:num w:numId="35" w16cid:durableId="1147085569">
    <w:abstractNumId w:val="12"/>
  </w:num>
  <w:num w:numId="36" w16cid:durableId="1768766082">
    <w:abstractNumId w:val="13"/>
  </w:num>
  <w:num w:numId="37" w16cid:durableId="1085498142">
    <w:abstractNumId w:val="15"/>
  </w:num>
  <w:num w:numId="38" w16cid:durableId="1738479061">
    <w:abstractNumId w:val="0"/>
  </w:num>
  <w:num w:numId="39" w16cid:durableId="338430910">
    <w:abstractNumId w:val="0"/>
  </w:num>
  <w:num w:numId="40" w16cid:durableId="1790661577">
    <w:abstractNumId w:val="5"/>
  </w:num>
  <w:num w:numId="41" w16cid:durableId="180114886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2CFE"/>
    <w:rsid w:val="000831A4"/>
    <w:rsid w:val="0008731A"/>
    <w:rsid w:val="00090056"/>
    <w:rsid w:val="0009097C"/>
    <w:rsid w:val="0009216E"/>
    <w:rsid w:val="000957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463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2822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42D1"/>
    <w:rsid w:val="002B6B78"/>
    <w:rsid w:val="002C0D91"/>
    <w:rsid w:val="002C73C5"/>
    <w:rsid w:val="002E5C97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4879"/>
    <w:rsid w:val="003577DD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8710D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0178"/>
    <w:rsid w:val="00501FAD"/>
    <w:rsid w:val="0050467E"/>
    <w:rsid w:val="00507C48"/>
    <w:rsid w:val="005128D7"/>
    <w:rsid w:val="0051672D"/>
    <w:rsid w:val="00520182"/>
    <w:rsid w:val="00521EE7"/>
    <w:rsid w:val="00535CAA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1C98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932DA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1FFD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B264E"/>
    <w:rsid w:val="007D0A4D"/>
    <w:rsid w:val="007D427A"/>
    <w:rsid w:val="007D471B"/>
    <w:rsid w:val="007F2BE7"/>
    <w:rsid w:val="007F4F1D"/>
    <w:rsid w:val="0080224A"/>
    <w:rsid w:val="00805374"/>
    <w:rsid w:val="00813119"/>
    <w:rsid w:val="00822E63"/>
    <w:rsid w:val="00824B4C"/>
    <w:rsid w:val="00830A20"/>
    <w:rsid w:val="00835677"/>
    <w:rsid w:val="0084713F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3954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9F11A2"/>
    <w:rsid w:val="00A00EEF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1296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04886"/>
    <w:rsid w:val="00C12CDF"/>
    <w:rsid w:val="00C13E38"/>
    <w:rsid w:val="00C215BF"/>
    <w:rsid w:val="00C2402B"/>
    <w:rsid w:val="00C24C35"/>
    <w:rsid w:val="00C24CD3"/>
    <w:rsid w:val="00C33951"/>
    <w:rsid w:val="00C33FC0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0ABB"/>
    <w:rsid w:val="00CD6491"/>
    <w:rsid w:val="00CF0D9F"/>
    <w:rsid w:val="00CF6881"/>
    <w:rsid w:val="00D01CA9"/>
    <w:rsid w:val="00D03554"/>
    <w:rsid w:val="00D0379C"/>
    <w:rsid w:val="00D048E5"/>
    <w:rsid w:val="00D122BE"/>
    <w:rsid w:val="00D13A81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ED547D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eur-lex.europa.eu/legal-content/LV/TXT/?uri=celex%3A32016R067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w3.unece.org/PXWeb2015/pxweb/en/STAT/STAT__40-TRTRANS__03-TRRoadFleet/01_en_TRRoadTypVehR_r.px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ec.europa.eu/eurostat/data/databa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ata.stat.gov.lv/pxweb/lv/OSP_OD/OSP_OD__transp__auto_celi/TRG040.p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87576-oficialas-statistikas-veidlapu-paraugu-apstiprinasanas-un-veidlapu-aizpildisanas-un-iesniegsanas-noteikumi" TargetMode="External"/><Relationship Id="rId14" Type="http://schemas.openxmlformats.org/officeDocument/2006/relationships/hyperlink" Target="https://www.csp.gov.lv/lv/informacijas-drosiba-un-datu-aizsardzib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3498</Words>
  <Characters>1995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13</cp:revision>
  <cp:lastPrinted>2022-10-11T08:26:00Z</cp:lastPrinted>
  <dcterms:created xsi:type="dcterms:W3CDTF">2021-07-08T11:30:00Z</dcterms:created>
  <dcterms:modified xsi:type="dcterms:W3CDTF">2024-11-29T12:22:00Z</dcterms:modified>
</cp:coreProperties>
</file>