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34742B34" w:rsidR="0051672D" w:rsidRPr="00883277" w:rsidRDefault="00825169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elektroenerģijas ražošanu, pārvadi un sadali”</w:t>
      </w:r>
      <w:r w:rsidR="008F70BB">
        <w:rPr>
          <w:sz w:val="26"/>
          <w:szCs w:val="26"/>
        </w:rPr>
        <w:br/>
      </w:r>
      <w:r>
        <w:rPr>
          <w:sz w:val="26"/>
          <w:szCs w:val="26"/>
        </w:rPr>
        <w:t>(1-enerģētika)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2402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0A0B755A" w:rsidR="009404C8" w:rsidRDefault="009404C8" w:rsidP="00214288">
      <w:r w:rsidRPr="009404C8">
        <w:t xml:space="preserve">Pārvalde lūdz iesniegt datus, lai nodrošinātu </w:t>
      </w:r>
      <w:r w:rsidRPr="00825169">
        <w:t xml:space="preserve">lietotāju vajadzības, kas definētas </w:t>
      </w:r>
      <w:hyperlink r:id="rId7" w:history="1">
        <w:r w:rsidRPr="00825169">
          <w:rPr>
            <w:rFonts w:cs="Verdana"/>
            <w:color w:val="0000FF"/>
            <w:szCs w:val="20"/>
          </w:rPr>
          <w:t>Oficiālās statistikas programmas</w:t>
        </w:r>
      </w:hyperlink>
      <w:r w:rsidRPr="00825169">
        <w:rPr>
          <w:color w:val="0000FF"/>
        </w:rPr>
        <w:t xml:space="preserve"> </w:t>
      </w:r>
      <w:r w:rsidRPr="00825169">
        <w:t xml:space="preserve">pielikuma </w:t>
      </w:r>
      <w:r w:rsidR="00825169" w:rsidRPr="00825169">
        <w:rPr>
          <w:szCs w:val="20"/>
        </w:rPr>
        <w:t>20. punktā (Enerģētikas statistika)</w:t>
      </w:r>
      <w:r w:rsidRPr="00825169">
        <w:t xml:space="preserve"> un </w:t>
      </w:r>
      <w:r w:rsidR="00825169" w:rsidRPr="00825169">
        <w:rPr>
          <w:szCs w:val="20"/>
        </w:rPr>
        <w:t>27. punktā (Vides statistika un ģeogrāfiskās ziņas)</w:t>
      </w:r>
      <w:r w:rsidRPr="00825169">
        <w:t>.</w:t>
      </w:r>
    </w:p>
    <w:p w14:paraId="221F7A86" w14:textId="2470CB4B" w:rsidR="00825169" w:rsidRDefault="00C30803" w:rsidP="00825169">
      <w:r>
        <w:t>Ikviena</w:t>
      </w:r>
      <w:r w:rsidR="00825169">
        <w:t xml:space="preserve"> uzņēmuma dati ir nozīmīgs datu avots Latvijas </w:t>
      </w:r>
      <w:proofErr w:type="spellStart"/>
      <w:r w:rsidR="00825169">
        <w:t>energobilaces</w:t>
      </w:r>
      <w:proofErr w:type="spellEnd"/>
      <w:r w:rsidR="00825169">
        <w:t xml:space="preserve"> sagatavošanā. Pārskatā iegūtos datus izmanto arī:</w:t>
      </w:r>
    </w:p>
    <w:p w14:paraId="2CAC22B3" w14:textId="77777777" w:rsidR="00825169" w:rsidRDefault="00825169" w:rsidP="00825169">
      <w:pPr>
        <w:pStyle w:val="NoSpacing"/>
        <w:rPr>
          <w:rFonts w:cs="Times New Roman"/>
        </w:rPr>
      </w:pPr>
      <w:r>
        <w:t>vides ekonomisko kontu izstrādei;</w:t>
      </w:r>
    </w:p>
    <w:p w14:paraId="62BBF375" w14:textId="77777777" w:rsidR="00825169" w:rsidRDefault="00825169" w:rsidP="00825169">
      <w:pPr>
        <w:pStyle w:val="NoSpacing"/>
        <w:rPr>
          <w:rFonts w:cs="Times New Roman"/>
        </w:rPr>
      </w:pPr>
      <w:r>
        <w:t>enerģētikas un klimata plānu, kā arī stratēģiju izstrādei;</w:t>
      </w:r>
    </w:p>
    <w:p w14:paraId="5F77C5D0" w14:textId="77777777" w:rsidR="00825169" w:rsidRDefault="00825169" w:rsidP="00825169">
      <w:pPr>
        <w:pStyle w:val="NoSpacing"/>
        <w:rPr>
          <w:rFonts w:cs="Times New Roman"/>
        </w:rPr>
      </w:pPr>
      <w:r>
        <w:t xml:space="preserve">enerģētikas indikatoru aprēķināšanai, piemēram, </w:t>
      </w:r>
      <w:proofErr w:type="spellStart"/>
      <w:r>
        <w:t>atjaunīgo</w:t>
      </w:r>
      <w:proofErr w:type="spellEnd"/>
      <w:r>
        <w:t xml:space="preserve"> energoresursu īpatsvara aprēķināšanai bruto enerģijas </w:t>
      </w:r>
      <w:proofErr w:type="spellStart"/>
      <w:r>
        <w:t>galapatēriņā</w:t>
      </w:r>
      <w:proofErr w:type="spellEnd"/>
      <w:r>
        <w:t xml:space="preserve"> un transportā;</w:t>
      </w:r>
    </w:p>
    <w:p w14:paraId="10ECB580" w14:textId="77777777" w:rsidR="00825169" w:rsidRDefault="00825169" w:rsidP="00825169">
      <w:pPr>
        <w:pStyle w:val="NoSpacing"/>
        <w:rPr>
          <w:rFonts w:cs="Times New Roman"/>
        </w:rPr>
      </w:pPr>
      <w:r>
        <w:rPr>
          <w:bCs/>
        </w:rPr>
        <w:t>vides aizsardzības politikas veidošanai;</w:t>
      </w:r>
    </w:p>
    <w:p w14:paraId="72A32E49" w14:textId="63FBA96B" w:rsidR="00381049" w:rsidRDefault="00825169" w:rsidP="00825169">
      <w:pPr>
        <w:pStyle w:val="NoSpacing"/>
        <w:rPr>
          <w:bCs/>
          <w:color w:val="000000"/>
        </w:rPr>
      </w:pPr>
      <w:r>
        <w:rPr>
          <w:rFonts w:cs="Times New Roman"/>
        </w:rPr>
        <w:t>dažādos pētījumos.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06B43F60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825169">
        <w:t>o</w:t>
      </w:r>
      <w:r w:rsidRPr="00C13E38">
        <w:t xml:space="preserve"> </w:t>
      </w:r>
      <w:r w:rsidR="00322F85" w:rsidRPr="00C13E38">
        <w:t>tiesību aktu:</w:t>
      </w:r>
    </w:p>
    <w:p w14:paraId="276BD1E0" w14:textId="2DD1D37E" w:rsidR="00156802" w:rsidRDefault="00825169" w:rsidP="008A2572">
      <w:pPr>
        <w:pStyle w:val="NoSpacing"/>
        <w:numPr>
          <w:ilvl w:val="2"/>
          <w:numId w:val="26"/>
        </w:numPr>
      </w:pPr>
      <w:hyperlink r:id="rId8" w:history="1">
        <w:r w:rsidRPr="00825169">
          <w:rPr>
            <w:rStyle w:val="Hyperlink"/>
          </w:rPr>
          <w:t>Eiropas Parlamenta un Padomes 2008. gada 22. oktobra Regul</w:t>
        </w:r>
        <w:r w:rsidR="00222A0A">
          <w:rPr>
            <w:rStyle w:val="Hyperlink"/>
          </w:rPr>
          <w:t>u</w:t>
        </w:r>
        <w:r w:rsidRPr="00825169">
          <w:rPr>
            <w:rStyle w:val="Hyperlink"/>
          </w:rPr>
          <w:t xml:space="preserve"> (EK) Nr. 1099/2008</w:t>
        </w:r>
      </w:hyperlink>
      <w:r>
        <w:t xml:space="preserve"> par enerģētikas statistiku (Dokuments attiecas uz EEZ)</w:t>
      </w:r>
      <w:r>
        <w:rPr>
          <w:rFonts w:cs="Times New Roman"/>
        </w:rPr>
        <w:t>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3" w:name="_Toc70071549"/>
      <w:r>
        <w:t>Kur ir noteikts p</w:t>
      </w:r>
      <w:r w:rsidR="00E47D56" w:rsidRPr="00F37885">
        <w:t>ienākums iesniegt datus</w:t>
      </w:r>
      <w:r>
        <w:t>?</w:t>
      </w:r>
      <w:bookmarkEnd w:id="3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9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4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4"/>
    </w:p>
    <w:p w14:paraId="584FBD34" w14:textId="77A5BB63" w:rsidR="00381049" w:rsidRDefault="00825169" w:rsidP="00CF0D9F">
      <w:r>
        <w:t>Dati par elektroenerģijas tirgotāju lietotājiem realizēto elektroenerģijas apjomu pa saimnieciskās darbības veidiem (nozarēm) tiek iegūti no administratīvajiem datu avotiem.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5" w:name="_Toc70071551"/>
      <w:r>
        <w:t>Kam ir jāiesniedz dati?</w:t>
      </w:r>
      <w:bookmarkEnd w:id="5"/>
    </w:p>
    <w:p w14:paraId="548EF47D" w14:textId="6B4C9D1F" w:rsidR="00CA6CE4" w:rsidRDefault="00825169" w:rsidP="00CA6CE4">
      <w:proofErr w:type="spellStart"/>
      <w:r>
        <w:t>Apsekojumā</w:t>
      </w:r>
      <w:proofErr w:type="spellEnd"/>
      <w:r>
        <w:t xml:space="preserve"> iekļauj uzņēmumus, kuru pamatdarbība atbilstoši saimniecisko darbību statistiskajai klasifikācijai NACE 2. </w:t>
      </w:r>
      <w:proofErr w:type="spellStart"/>
      <w:r>
        <w:t>red</w:t>
      </w:r>
      <w:proofErr w:type="spellEnd"/>
      <w:r>
        <w:t>. ir elektroenerģijas ražošana, apgāde un sadale.</w:t>
      </w:r>
    </w:p>
    <w:p w14:paraId="19655D11" w14:textId="77777777" w:rsidR="0096120B" w:rsidRPr="0096120B" w:rsidRDefault="0096120B" w:rsidP="0096120B">
      <w:bookmarkStart w:id="6" w:name="_Toc70071552"/>
      <w:r w:rsidRPr="0096120B">
        <w:t>Izlases izveidošanas standarts:</w:t>
      </w:r>
    </w:p>
    <w:p w14:paraId="60B01696" w14:textId="713E7234" w:rsidR="0096120B" w:rsidRPr="0096120B" w:rsidRDefault="0096120B" w:rsidP="0096120B">
      <w:pPr>
        <w:pStyle w:val="NoSpacing"/>
      </w:pPr>
      <w:hyperlink r:id="rId10" w:history="1">
        <w:r w:rsidRPr="00825169">
          <w:rPr>
            <w:rStyle w:val="Hyperlink"/>
          </w:rPr>
          <w:t>Eiropas Parlamenta un Padomes 2008. gada 22. oktobra Regula</w:t>
        </w:r>
        <w:r>
          <w:rPr>
            <w:rStyle w:val="Hyperlink"/>
          </w:rPr>
          <w:t>s</w:t>
        </w:r>
        <w:r w:rsidRPr="00825169">
          <w:rPr>
            <w:rStyle w:val="Hyperlink"/>
          </w:rPr>
          <w:t xml:space="preserve"> (EK) Nr. 1099/2008</w:t>
        </w:r>
      </w:hyperlink>
      <w:r>
        <w:t xml:space="preserve"> par enerģētikas statistiku (Dokuments attiecas uz EEZ)</w:t>
      </w:r>
      <w:r w:rsidRPr="0096120B">
        <w:t xml:space="preserve"> 3.</w:t>
      </w:r>
      <w:r>
        <w:t> </w:t>
      </w:r>
      <w:r w:rsidRPr="0096120B">
        <w:t xml:space="preserve">pants </w:t>
      </w:r>
      <w:r>
        <w:t xml:space="preserve">un </w:t>
      </w:r>
      <w:r w:rsidRPr="0096120B">
        <w:t>B</w:t>
      </w:r>
      <w:r>
        <w:t> </w:t>
      </w:r>
      <w:r w:rsidRPr="0096120B">
        <w:t>pielikums;</w:t>
      </w:r>
    </w:p>
    <w:p w14:paraId="5E5F6849" w14:textId="2B8EE3F0" w:rsidR="0096120B" w:rsidRPr="0096120B" w:rsidRDefault="0096120B" w:rsidP="0096120B">
      <w:pPr>
        <w:pStyle w:val="NoSpacing"/>
      </w:pPr>
      <w:hyperlink r:id="rId11" w:history="1">
        <w:r w:rsidRPr="0096120B">
          <w:rPr>
            <w:rStyle w:val="Hyperlink"/>
          </w:rPr>
          <w:t>Ministru kabineta 2016. gada 20. decembra noteikumi Nr. 812</w:t>
        </w:r>
      </w:hyperlink>
      <w:r w:rsidRPr="0096120B">
        <w:t xml:space="preserve"> ”Oficiālās statistikas veidlapu paraugu apstiprināšanas un veidlapu aizpildīšanas un iesniegšanas noteikumi”.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6"/>
    </w:p>
    <w:bookmarkStart w:id="7" w:name="_Toc40698654"/>
    <w:p w14:paraId="4BFB7A8D" w14:textId="46F818B0" w:rsidR="00825169" w:rsidRPr="00825169" w:rsidRDefault="00825169" w:rsidP="00825169">
      <w:pPr>
        <w:pStyle w:val="NoSpacing"/>
        <w:rPr>
          <w:rFonts w:cs="Times New Roman"/>
          <w:color w:val="000000"/>
          <w:szCs w:val="20"/>
        </w:rPr>
      </w:pPr>
      <w:r w:rsidRPr="00825169">
        <w:fldChar w:fldCharType="begin"/>
      </w:r>
      <w:r w:rsidR="00772204">
        <w:instrText>HYPERLINK "https://stat.gov.lv/lv/statistikas-temas/noz/energetika"</w:instrText>
      </w:r>
      <w:r w:rsidRPr="00825169">
        <w:fldChar w:fldCharType="separate"/>
      </w:r>
      <w:r w:rsidRPr="00825169">
        <w:rPr>
          <w:rStyle w:val="Hyperlink"/>
          <w:rFonts w:cs="Times New Roman"/>
          <w:szCs w:val="20"/>
        </w:rPr>
        <w:t>Oficiālās statistikas portālā</w:t>
      </w:r>
      <w:r w:rsidRPr="00825169">
        <w:fldChar w:fldCharType="end"/>
      </w:r>
    </w:p>
    <w:p w14:paraId="438F1029" w14:textId="2C473143" w:rsidR="00381049" w:rsidRPr="00825169" w:rsidRDefault="00825169" w:rsidP="00825169">
      <w:pPr>
        <w:pStyle w:val="NoSpacing"/>
        <w:rPr>
          <w:rStyle w:val="Hyperlink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</w:t>
      </w:r>
      <w:proofErr w:type="spellStart"/>
      <w:r>
        <w:rPr>
          <w:rFonts w:cs="Verdana"/>
          <w:color w:val="000000"/>
          <w:szCs w:val="20"/>
        </w:rPr>
        <w:t>Eurostat</w:t>
      </w:r>
      <w:proofErr w:type="spellEnd"/>
      <w:r>
        <w:rPr>
          <w:rFonts w:cs="Verdana"/>
          <w:color w:val="000000"/>
          <w:szCs w:val="20"/>
        </w:rPr>
        <w:t>)</w:t>
      </w:r>
      <w:r w:rsidRPr="00825169">
        <w:rPr>
          <w:rFonts w:cs="Times New Roman"/>
          <w:i/>
          <w:iCs/>
          <w:szCs w:val="20"/>
        </w:rPr>
        <w:t xml:space="preserve"> </w:t>
      </w:r>
      <w:hyperlink r:id="rId12" w:history="1">
        <w:r w:rsidRPr="00825169">
          <w:rPr>
            <w:rStyle w:val="Hyperlink"/>
            <w:rFonts w:cs="Times New Roman"/>
            <w:szCs w:val="20"/>
          </w:rPr>
          <w:t>datubāzēs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8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7"/>
      <w:r>
        <w:t>?</w:t>
      </w:r>
      <w:bookmarkEnd w:id="8"/>
    </w:p>
    <w:p w14:paraId="2C8431C2" w14:textId="77777777" w:rsidR="00825169" w:rsidRPr="00825169" w:rsidRDefault="00825169" w:rsidP="00825169">
      <w:pPr>
        <w:pStyle w:val="NoSpacing"/>
        <w:rPr>
          <w:rStyle w:val="Hyperlink"/>
          <w:color w:val="000000" w:themeColor="text1"/>
          <w:szCs w:val="20"/>
        </w:rPr>
      </w:pPr>
      <w:hyperlink r:id="rId13" w:history="1">
        <w:r w:rsidRPr="00825169">
          <w:rPr>
            <w:rStyle w:val="Hyperlink"/>
            <w:szCs w:val="20"/>
          </w:rPr>
          <w:t>Ekonomikas ministrija</w:t>
        </w:r>
      </w:hyperlink>
    </w:p>
    <w:p w14:paraId="6675AF93" w14:textId="3039D1F9" w:rsidR="00825169" w:rsidRPr="00825169" w:rsidRDefault="00825169" w:rsidP="00825169">
      <w:pPr>
        <w:pStyle w:val="NoSpacing"/>
      </w:pPr>
      <w:r w:rsidRPr="00825169">
        <w:rPr>
          <w:rFonts w:cs="Open Sans"/>
        </w:rPr>
        <w:t>Nacionālais enerģētikas un klimata plāns (</w:t>
      </w:r>
      <w:hyperlink r:id="rId14" w:history="1">
        <w:r w:rsidRPr="00825169">
          <w:rPr>
            <w:rStyle w:val="Hyperlink"/>
            <w:rFonts w:cs="Open Sans"/>
            <w:szCs w:val="20"/>
          </w:rPr>
          <w:t>NEK</w:t>
        </w:r>
        <w:r w:rsidRPr="00825169">
          <w:rPr>
            <w:rStyle w:val="Hyperlink"/>
            <w:rFonts w:cs="Open Sans"/>
            <w:szCs w:val="20"/>
          </w:rPr>
          <w:t>P</w:t>
        </w:r>
      </w:hyperlink>
      <w:r w:rsidRPr="00825169">
        <w:rPr>
          <w:rFonts w:cs="Open Sans"/>
        </w:rPr>
        <w:t>)</w:t>
      </w:r>
    </w:p>
    <w:p w14:paraId="4BDD7AE9" w14:textId="65E67E4B" w:rsidR="00825169" w:rsidRDefault="00825169" w:rsidP="00825169">
      <w:pPr>
        <w:pStyle w:val="NoSpacing"/>
        <w:rPr>
          <w:rStyle w:val="Hyperlink"/>
          <w:rFonts w:cs="Open Sans"/>
          <w:szCs w:val="20"/>
        </w:rPr>
      </w:pPr>
      <w:r w:rsidRPr="00825169">
        <w:rPr>
          <w:rFonts w:cs="Open Sans"/>
        </w:rPr>
        <w:t>Latvijas Vides, ģeoloģijas un meteoroloģijas centrs:</w:t>
      </w:r>
      <w:r w:rsidR="00772204">
        <w:rPr>
          <w:rFonts w:cs="Open Sans"/>
          <w:szCs w:val="20"/>
        </w:rPr>
        <w:t xml:space="preserve"> </w:t>
      </w:r>
      <w:hyperlink r:id="rId15" w:history="1">
        <w:r w:rsidR="00772204">
          <w:rPr>
            <w:rStyle w:val="Hyperlink"/>
            <w:rFonts w:cs="Open Sans"/>
            <w:szCs w:val="20"/>
          </w:rPr>
          <w:t>Informācija par Latvijas SEG emisijām</w:t>
        </w:r>
      </w:hyperlink>
      <w:r w:rsidR="00772204" w:rsidRPr="00825169">
        <w:rPr>
          <w:rStyle w:val="Hyperlink"/>
          <w:rFonts w:cs="Open Sans"/>
          <w:szCs w:val="20"/>
        </w:rPr>
        <w:t xml:space="preserve"> </w:t>
      </w:r>
    </w:p>
    <w:p w14:paraId="54D71E64" w14:textId="5FDD25FC" w:rsidR="00772204" w:rsidRPr="001C14BD" w:rsidRDefault="00772204" w:rsidP="00772204">
      <w:pPr>
        <w:pStyle w:val="NoSpacing"/>
        <w:rPr>
          <w:rStyle w:val="Hyperlink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>HYPERLINK "https://www.kem.gov.lv/lv/energetika"</w:instrText>
      </w:r>
      <w:r>
        <w:rPr>
          <w:rStyle w:val="Hyperlink"/>
        </w:rPr>
      </w:r>
      <w:r>
        <w:rPr>
          <w:rStyle w:val="Hyperlink"/>
        </w:rPr>
        <w:fldChar w:fldCharType="separate"/>
      </w:r>
      <w:r w:rsidRPr="001C14BD">
        <w:rPr>
          <w:rStyle w:val="Hyperlink"/>
        </w:rPr>
        <w:t>Klimata un enerģētikas ministrija</w:t>
      </w:r>
    </w:p>
    <w:p w14:paraId="0AC114B0" w14:textId="40128BAC" w:rsidR="00825169" w:rsidRPr="00772204" w:rsidRDefault="00772204" w:rsidP="00772204">
      <w:pPr>
        <w:pStyle w:val="NoSpacing"/>
        <w:rPr>
          <w:rFonts w:cs="Open Sans"/>
          <w:color w:val="0000FF"/>
          <w:szCs w:val="20"/>
        </w:rPr>
      </w:pPr>
      <w:r>
        <w:rPr>
          <w:rStyle w:val="Hyperlink"/>
        </w:rPr>
        <w:fldChar w:fldCharType="end"/>
      </w:r>
      <w:bookmarkStart w:id="9" w:name="_Hlk53476687"/>
      <w:r w:rsidR="00825169" w:rsidRPr="00825169">
        <w:fldChar w:fldCharType="begin"/>
      </w:r>
      <w:r>
        <w:instrText>HYPERLINK "https://www.varam.gov.lv/lv/darbibas-jomas"</w:instrText>
      </w:r>
      <w:r w:rsidR="00825169" w:rsidRPr="00825169">
        <w:fldChar w:fldCharType="separate"/>
      </w:r>
      <w:bookmarkEnd w:id="9"/>
      <w:r>
        <w:rPr>
          <w:rStyle w:val="Hyperlink"/>
          <w:rFonts w:cs="Open Sans"/>
          <w:szCs w:val="20"/>
        </w:rPr>
        <w:t>Viedās administrācijas un reģionālās attīstības ministrija</w:t>
      </w:r>
      <w:r w:rsidR="00825169" w:rsidRPr="00825169">
        <w:fldChar w:fldCharType="end"/>
      </w:r>
    </w:p>
    <w:p w14:paraId="2C4367D3" w14:textId="472A6921" w:rsidR="00825169" w:rsidRPr="00825169" w:rsidRDefault="003B14AA" w:rsidP="00825169">
      <w:pPr>
        <w:pStyle w:val="NoSpacing"/>
        <w:rPr>
          <w:rFonts w:cs="Open Sans"/>
          <w:u w:val="single"/>
        </w:rPr>
      </w:pPr>
      <w:r>
        <w:rPr>
          <w:rFonts w:cs="Open Sans"/>
          <w:color w:val="000000"/>
        </w:rPr>
        <w:lastRenderedPageBreak/>
        <w:t>Valsts kanceleja</w:t>
      </w:r>
      <w:r w:rsidR="00825169" w:rsidRPr="00825169">
        <w:rPr>
          <w:rFonts w:cs="Open Sans"/>
          <w:color w:val="000000"/>
        </w:rPr>
        <w:t>: Latvijas Nacionālais attīstības plāns (</w:t>
      </w:r>
      <w:hyperlink r:id="rId16" w:history="1">
        <w:r w:rsidR="00825169" w:rsidRPr="00825169">
          <w:rPr>
            <w:rStyle w:val="Hyperlink"/>
            <w:rFonts w:cs="Open Sans"/>
            <w:szCs w:val="20"/>
          </w:rPr>
          <w:t>NAP</w:t>
        </w:r>
      </w:hyperlink>
      <w:r w:rsidR="00825169" w:rsidRPr="00825169">
        <w:rPr>
          <w:rFonts w:cs="Open Sans"/>
          <w:color w:val="000000"/>
        </w:rPr>
        <w:t>)</w:t>
      </w:r>
    </w:p>
    <w:p w14:paraId="30F2D2DC" w14:textId="1E98EA0F" w:rsidR="00825169" w:rsidRPr="00825169" w:rsidRDefault="00825169" w:rsidP="00825169">
      <w:pPr>
        <w:pStyle w:val="NoSpacing"/>
        <w:rPr>
          <w:rFonts w:cs="Open Sans"/>
          <w:u w:val="single"/>
        </w:rPr>
      </w:pPr>
      <w:r w:rsidRPr="00825169">
        <w:rPr>
          <w:rFonts w:cs="Open Sans"/>
          <w:color w:val="000000"/>
        </w:rPr>
        <w:t>Starptautiskā Enerģētikas aģentūra</w:t>
      </w:r>
      <w:r w:rsidRPr="00825169">
        <w:t xml:space="preserve"> </w:t>
      </w:r>
      <w:r w:rsidRPr="00F73229">
        <w:t>(</w:t>
      </w:r>
      <w:hyperlink r:id="rId17" w:history="1">
        <w:r w:rsidRPr="00825169">
          <w:rPr>
            <w:rStyle w:val="Hyperlink"/>
            <w:rFonts w:cs="Open Sans"/>
            <w:szCs w:val="20"/>
          </w:rPr>
          <w:t>IEA</w:t>
        </w:r>
      </w:hyperlink>
      <w:r w:rsidRPr="00F73229">
        <w:rPr>
          <w:rStyle w:val="Hyperlink"/>
          <w:rFonts w:cs="Open Sans"/>
          <w:color w:val="auto"/>
          <w:szCs w:val="20"/>
        </w:rPr>
        <w:t>)</w:t>
      </w:r>
    </w:p>
    <w:p w14:paraId="6E900727" w14:textId="4318A6A1" w:rsidR="00825169" w:rsidRPr="00F73229" w:rsidRDefault="00825169" w:rsidP="00825169">
      <w:pPr>
        <w:pStyle w:val="NoSpacing"/>
        <w:rPr>
          <w:rFonts w:cs="Open Sans"/>
          <w:u w:val="single"/>
        </w:rPr>
      </w:pPr>
      <w:r w:rsidRPr="00825169">
        <w:rPr>
          <w:rFonts w:cs="Open Sans"/>
          <w:color w:val="000000"/>
        </w:rPr>
        <w:t>Starptautiskā Atjaunojamo energoresursu aģentūra</w:t>
      </w:r>
      <w:r w:rsidRPr="00F73229">
        <w:t xml:space="preserve"> (</w:t>
      </w:r>
      <w:hyperlink r:id="rId18" w:history="1">
        <w:r w:rsidRPr="00825169">
          <w:rPr>
            <w:rStyle w:val="Hyperlink"/>
            <w:rFonts w:cs="Open Sans"/>
            <w:szCs w:val="20"/>
          </w:rPr>
          <w:t>IRENA</w:t>
        </w:r>
      </w:hyperlink>
      <w:r w:rsidRPr="00F73229">
        <w:rPr>
          <w:rStyle w:val="Hyperlink"/>
          <w:rFonts w:cs="Open Sans"/>
          <w:color w:val="auto"/>
          <w:szCs w:val="20"/>
        </w:rPr>
        <w:t>)</w:t>
      </w:r>
    </w:p>
    <w:p w14:paraId="3CB4F6A1" w14:textId="651093BC" w:rsidR="00381049" w:rsidRPr="00825169" w:rsidRDefault="00825169" w:rsidP="00825169">
      <w:pPr>
        <w:pStyle w:val="NoSpacing"/>
      </w:pPr>
      <w:r w:rsidRPr="00825169">
        <w:rPr>
          <w:rFonts w:cs="Open Sans"/>
          <w:color w:val="000000"/>
        </w:rPr>
        <w:t xml:space="preserve">Apvienoto Nāciju Organizācijas Statistikas </w:t>
      </w:r>
      <w:r>
        <w:rPr>
          <w:rFonts w:cs="Open Sans"/>
          <w:color w:val="000000"/>
        </w:rPr>
        <w:t>nodaļa</w:t>
      </w:r>
      <w:r w:rsidR="00772204">
        <w:rPr>
          <w:rFonts w:cs="Open Sans"/>
          <w:color w:val="000000"/>
        </w:rPr>
        <w:t>,</w:t>
      </w:r>
      <w:r w:rsidRPr="00825169">
        <w:rPr>
          <w:rFonts w:cs="Open Sans"/>
          <w:color w:val="000000"/>
        </w:rPr>
        <w:t xml:space="preserve"> </w:t>
      </w:r>
      <w:hyperlink r:id="rId19" w:history="1">
        <w:r w:rsidR="00772204">
          <w:rPr>
            <w:rStyle w:val="Hyperlink"/>
            <w:rFonts w:cs="Open Sans"/>
            <w:szCs w:val="20"/>
          </w:rPr>
          <w:t>Enerģētikas statistikas nodaļa</w:t>
        </w:r>
      </w:hyperlink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0" w:name="_Toc70071554"/>
      <w:r>
        <w:t>Vai Pārvalde ievēro d</w:t>
      </w:r>
      <w:r w:rsidR="00CB2A49" w:rsidRPr="00C13E38">
        <w:t>atu konfidencialitāt</w:t>
      </w:r>
      <w:r>
        <w:t>i?</w:t>
      </w:r>
      <w:bookmarkEnd w:id="10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1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1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2AC4ABD5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20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F7A0849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21" w:history="1">
        <w:r w:rsidR="0080742B">
          <w:rPr>
            <w:rStyle w:val="Hyperlink"/>
            <w:rFonts w:cs="Times New Roman"/>
            <w:szCs w:val="20"/>
          </w:rPr>
          <w:t>https://www.csp.gov.lv/lv/biezak-uzdotie-jautajumi-par-personas-datu-apstradi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48371293" o:spid="_x0000_i1029" type="#_x0000_t75" style="width:1in;height:1in;visibility:visible;mso-wrap-style:square" o:bullet="t">
        <v:imagedata r:id="rId1" o:title="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345259"/>
    <w:multiLevelType w:val="hybridMultilevel"/>
    <w:tmpl w:val="113CA838"/>
    <w:lvl w:ilvl="0" w:tplc="056ECBFC">
      <w:numFmt w:val="bullet"/>
      <w:lvlText w:val=""/>
      <w:lvlJc w:val="left"/>
      <w:pPr>
        <w:ind w:left="2421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E2C4DE0"/>
    <w:multiLevelType w:val="hybridMultilevel"/>
    <w:tmpl w:val="8C76F6CE"/>
    <w:lvl w:ilvl="0" w:tplc="6592018C">
      <w:numFmt w:val="bullet"/>
      <w:lvlText w:val=""/>
      <w:lvlJc w:val="left"/>
      <w:pPr>
        <w:ind w:left="2421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6847888"/>
    <w:multiLevelType w:val="hybridMultilevel"/>
    <w:tmpl w:val="F84288D4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29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B3A4107"/>
    <w:multiLevelType w:val="hybridMultilevel"/>
    <w:tmpl w:val="D05626F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373885">
    <w:abstractNumId w:val="15"/>
  </w:num>
  <w:num w:numId="2" w16cid:durableId="1352537810">
    <w:abstractNumId w:val="28"/>
  </w:num>
  <w:num w:numId="3" w16cid:durableId="594360125">
    <w:abstractNumId w:val="20"/>
  </w:num>
  <w:num w:numId="4" w16cid:durableId="1822769003">
    <w:abstractNumId w:val="21"/>
  </w:num>
  <w:num w:numId="5" w16cid:durableId="2068796410">
    <w:abstractNumId w:val="29"/>
  </w:num>
  <w:num w:numId="6" w16cid:durableId="976648499">
    <w:abstractNumId w:val="27"/>
  </w:num>
  <w:num w:numId="7" w16cid:durableId="1772894162">
    <w:abstractNumId w:val="15"/>
  </w:num>
  <w:num w:numId="8" w16cid:durableId="1537110999">
    <w:abstractNumId w:val="15"/>
  </w:num>
  <w:num w:numId="9" w16cid:durableId="777412873">
    <w:abstractNumId w:val="15"/>
  </w:num>
  <w:num w:numId="10" w16cid:durableId="1779913570">
    <w:abstractNumId w:val="15"/>
  </w:num>
  <w:num w:numId="11" w16cid:durableId="1164664248">
    <w:abstractNumId w:val="0"/>
  </w:num>
  <w:num w:numId="12" w16cid:durableId="113063965">
    <w:abstractNumId w:val="20"/>
  </w:num>
  <w:num w:numId="13" w16cid:durableId="1777669917">
    <w:abstractNumId w:val="9"/>
  </w:num>
  <w:num w:numId="14" w16cid:durableId="707266108">
    <w:abstractNumId w:val="4"/>
  </w:num>
  <w:num w:numId="15" w16cid:durableId="2141611915">
    <w:abstractNumId w:val="17"/>
  </w:num>
  <w:num w:numId="16" w16cid:durableId="450126842">
    <w:abstractNumId w:val="2"/>
  </w:num>
  <w:num w:numId="17" w16cid:durableId="747193281">
    <w:abstractNumId w:val="21"/>
  </w:num>
  <w:num w:numId="18" w16cid:durableId="47999838">
    <w:abstractNumId w:val="21"/>
  </w:num>
  <w:num w:numId="19" w16cid:durableId="84346223">
    <w:abstractNumId w:val="7"/>
  </w:num>
  <w:num w:numId="20" w16cid:durableId="1147865063">
    <w:abstractNumId w:val="30"/>
  </w:num>
  <w:num w:numId="21" w16cid:durableId="802308944">
    <w:abstractNumId w:val="8"/>
  </w:num>
  <w:num w:numId="22" w16cid:durableId="2120680223">
    <w:abstractNumId w:val="22"/>
  </w:num>
  <w:num w:numId="23" w16cid:durableId="695154852">
    <w:abstractNumId w:val="3"/>
  </w:num>
  <w:num w:numId="24" w16cid:durableId="1530410793">
    <w:abstractNumId w:val="6"/>
  </w:num>
  <w:num w:numId="25" w16cid:durableId="187914839">
    <w:abstractNumId w:val="1"/>
  </w:num>
  <w:num w:numId="26" w16cid:durableId="492110733">
    <w:abstractNumId w:val="25"/>
  </w:num>
  <w:num w:numId="27" w16cid:durableId="1746684572">
    <w:abstractNumId w:val="16"/>
  </w:num>
  <w:num w:numId="28" w16cid:durableId="1016880715">
    <w:abstractNumId w:val="5"/>
  </w:num>
  <w:num w:numId="29" w16cid:durableId="990017943">
    <w:abstractNumId w:val="14"/>
  </w:num>
  <w:num w:numId="30" w16cid:durableId="1716465191">
    <w:abstractNumId w:val="23"/>
  </w:num>
  <w:num w:numId="31" w16cid:durableId="488520536">
    <w:abstractNumId w:val="24"/>
  </w:num>
  <w:num w:numId="32" w16cid:durableId="1690377539">
    <w:abstractNumId w:val="12"/>
  </w:num>
  <w:num w:numId="33" w16cid:durableId="1418745636">
    <w:abstractNumId w:val="26"/>
  </w:num>
  <w:num w:numId="34" w16cid:durableId="1764259619">
    <w:abstractNumId w:val="19"/>
  </w:num>
  <w:num w:numId="35" w16cid:durableId="36396210">
    <w:abstractNumId w:val="10"/>
  </w:num>
  <w:num w:numId="36" w16cid:durableId="370420438">
    <w:abstractNumId w:val="11"/>
  </w:num>
  <w:num w:numId="37" w16cid:durableId="753475782">
    <w:abstractNumId w:val="13"/>
  </w:num>
  <w:num w:numId="38" w16cid:durableId="1387222762">
    <w:abstractNumId w:val="18"/>
  </w:num>
  <w:num w:numId="39" w16cid:durableId="329798597">
    <w:abstractNumId w:val="31"/>
  </w:num>
  <w:num w:numId="40" w16cid:durableId="712193344">
    <w:abstractNumId w:val="20"/>
  </w:num>
  <w:num w:numId="41" w16cid:durableId="559706426">
    <w:abstractNumId w:val="25"/>
  </w:num>
  <w:num w:numId="42" w16cid:durableId="1404453463">
    <w:abstractNumId w:val="20"/>
  </w:num>
  <w:num w:numId="43" w16cid:durableId="809175443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22A0A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A466A"/>
    <w:rsid w:val="002B6B78"/>
    <w:rsid w:val="002C0D91"/>
    <w:rsid w:val="002C73C5"/>
    <w:rsid w:val="002D6542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B14AA"/>
    <w:rsid w:val="003B371D"/>
    <w:rsid w:val="003B67AC"/>
    <w:rsid w:val="003C75AA"/>
    <w:rsid w:val="003D3C83"/>
    <w:rsid w:val="003D4A22"/>
    <w:rsid w:val="003D57B4"/>
    <w:rsid w:val="003E60C7"/>
    <w:rsid w:val="003E711F"/>
    <w:rsid w:val="003F5577"/>
    <w:rsid w:val="004001D7"/>
    <w:rsid w:val="0040338F"/>
    <w:rsid w:val="00404BE4"/>
    <w:rsid w:val="004200CC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482B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994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021D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B0CCD"/>
    <w:rsid w:val="005B2510"/>
    <w:rsid w:val="005B71B4"/>
    <w:rsid w:val="005C2867"/>
    <w:rsid w:val="005C34C4"/>
    <w:rsid w:val="005C7232"/>
    <w:rsid w:val="005D03F5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72204"/>
    <w:rsid w:val="007734D7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0742B"/>
    <w:rsid w:val="00813119"/>
    <w:rsid w:val="00824B4C"/>
    <w:rsid w:val="00825169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0BB"/>
    <w:rsid w:val="008F7FBA"/>
    <w:rsid w:val="009143D9"/>
    <w:rsid w:val="0092464A"/>
    <w:rsid w:val="009404C8"/>
    <w:rsid w:val="009476EC"/>
    <w:rsid w:val="00950A1A"/>
    <w:rsid w:val="00953091"/>
    <w:rsid w:val="009610C6"/>
    <w:rsid w:val="0096120B"/>
    <w:rsid w:val="00972B53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C5A4B"/>
    <w:rsid w:val="009D7063"/>
    <w:rsid w:val="009E389F"/>
    <w:rsid w:val="009E775F"/>
    <w:rsid w:val="00A00EEF"/>
    <w:rsid w:val="00A15943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080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0AE2"/>
    <w:rsid w:val="00C9310D"/>
    <w:rsid w:val="00C941B2"/>
    <w:rsid w:val="00C96774"/>
    <w:rsid w:val="00CA0C46"/>
    <w:rsid w:val="00CA67B5"/>
    <w:rsid w:val="00CA6CE4"/>
    <w:rsid w:val="00CB2A49"/>
    <w:rsid w:val="00CC5AA1"/>
    <w:rsid w:val="00CD6491"/>
    <w:rsid w:val="00CF0D9F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2143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3ACA"/>
    <w:rsid w:val="00F561D5"/>
    <w:rsid w:val="00F56992"/>
    <w:rsid w:val="00F6610E"/>
    <w:rsid w:val="00F66271"/>
    <w:rsid w:val="00F677A4"/>
    <w:rsid w:val="00F73229"/>
    <w:rsid w:val="00F738A0"/>
    <w:rsid w:val="00F74097"/>
    <w:rsid w:val="00F8232F"/>
    <w:rsid w:val="00F83D57"/>
    <w:rsid w:val="00F860AD"/>
    <w:rsid w:val="00F9029E"/>
    <w:rsid w:val="00F914B8"/>
    <w:rsid w:val="00FA05E3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%3A32008R1099&amp;qid=1621595894426" TargetMode="External"/><Relationship Id="rId13" Type="http://schemas.openxmlformats.org/officeDocument/2006/relationships/hyperlink" Target="https://em.gov.lv/lv/nozares_politika/energetika/" TargetMode="External"/><Relationship Id="rId18" Type="http://schemas.openxmlformats.org/officeDocument/2006/relationships/hyperlink" Target="https://www.irena.org/Statistic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sp.gov.lv/lv/biezak-uzdotie-jautajumi-par-personas-datu-apstradi" TargetMode="Externa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ec.europa.eu/eurostat/data/database" TargetMode="External"/><Relationship Id="rId17" Type="http://schemas.openxmlformats.org/officeDocument/2006/relationships/hyperlink" Target="https://www.iea.org/areas-of-work/data-and-statistic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k.gov.lv/lv/latvijas-nacionalais-attistibas-plans" TargetMode="External"/><Relationship Id="rId20" Type="http://schemas.openxmlformats.org/officeDocument/2006/relationships/hyperlink" Target="https://eur-lex.europa.eu/legal-content/LV/TXT/?uri=celex%3A32016R067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likumi.lv/ta/id/287576-oficialas-statistikas-veidlapu-paraugu-apstiprinasanas-un-veidlapu-aizpildisanas-un-iesniegsanas-noteikum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descentrs.lvgmc.lv/lapas/informacija-par-latvijas-seg-emisija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-lex.europa.eu/legal-content/LV/TXT/?uri=CELEX%3A32008R1099&amp;qid=1621595894426" TargetMode="External"/><Relationship Id="rId19" Type="http://schemas.openxmlformats.org/officeDocument/2006/relationships/hyperlink" Target="https://unstats.un.org/unsd/energysta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74749" TargetMode="External"/><Relationship Id="rId14" Type="http://schemas.openxmlformats.org/officeDocument/2006/relationships/hyperlink" Target="https://likumi.lv/ta/id/353615-aktualizetais-nacionalais-energetikas-un-klimata-plans-20212030gadam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4371</Words>
  <Characters>2492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Regina Dzirne</cp:lastModifiedBy>
  <cp:revision>15</cp:revision>
  <cp:lastPrinted>2023-10-17T11:47:00Z</cp:lastPrinted>
  <dcterms:created xsi:type="dcterms:W3CDTF">2021-06-09T18:41:00Z</dcterms:created>
  <dcterms:modified xsi:type="dcterms:W3CDTF">2025-09-03T07:46:00Z</dcterms:modified>
</cp:coreProperties>
</file>