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2AA1371C" w14:textId="77777777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14:paraId="6DA3CBF2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FD3EC57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1E8EF6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6F5F4689" w14:textId="6C2B70FE" w:rsidR="00B04253" w:rsidRPr="0016724C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24C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8B717B">
              <w:rPr>
                <w:rFonts w:ascii="Calibri" w:hAnsi="Calibri"/>
                <w:sz w:val="22"/>
                <w:szCs w:val="22"/>
              </w:rPr>
              <w:t>0</w:t>
            </w:r>
            <w:r w:rsidRPr="0016724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724C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6724C" w:rsidRPr="0016724C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521E770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2C3533E" w14:textId="7619FCFE" w:rsidR="008742B8" w:rsidRDefault="002C342D" w:rsidP="008742B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>Datu elektroniskā iesniegšana</w:t>
            </w:r>
            <w:r w:rsidR="006155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A5D4945" w14:textId="77777777" w:rsidR="008742B8" w:rsidRPr="003F0907" w:rsidRDefault="008742B8" w:rsidP="0061557A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0852375" w14:textId="37D08414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EAE3405" w14:textId="599ABED3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C0E68AD" w14:textId="10C2589E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9B22BC" w:rsidRPr="009B22BC">
              <w:rPr>
                <w:rFonts w:ascii="Calibri" w:hAnsi="Calibri"/>
                <w:b/>
                <w:bCs/>
                <w:i/>
                <w:iCs/>
                <w:szCs w:val="22"/>
              </w:rPr>
              <w:t>67366874</w:t>
            </w:r>
          </w:p>
          <w:p w14:paraId="0FD28BEB" w14:textId="77777777"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1B4E6C66" w14:textId="0D1A8ACE"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 w:rsidRPr="00F224AD">
              <w:rPr>
                <w:rFonts w:ascii="Calibri" w:hAnsi="Calibri"/>
                <w:sz w:val="20"/>
              </w:rPr>
              <w:t>101210</w:t>
            </w:r>
            <w:r w:rsidR="00F224AD">
              <w:rPr>
                <w:rFonts w:ascii="Calibri" w:hAnsi="Calibri"/>
                <w:sz w:val="20"/>
              </w:rPr>
              <w:t>60</w:t>
            </w:r>
          </w:p>
        </w:tc>
      </w:tr>
      <w:tr w:rsidR="00350479" w:rsidRPr="0046799F" w14:paraId="4EFD138F" w14:textId="77777777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vAlign w:val="center"/>
          </w:tcPr>
          <w:p w14:paraId="05CBED8A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7B647BB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EBA267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2C231C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355C4F4" w14:textId="77777777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DE4347B" w14:textId="6B7B32C4" w:rsidR="00350479" w:rsidRPr="00D96661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D96661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F224AD" w:rsidRPr="00D96661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AC1B58" w:rsidRPr="00D96661">
              <w:rPr>
                <w:rFonts w:ascii="Calibri" w:hAnsi="Calibri"/>
                <w:b/>
                <w:sz w:val="32"/>
                <w:szCs w:val="32"/>
              </w:rPr>
              <w:t>5</w:t>
            </w:r>
            <w:r w:rsidRPr="00D96661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 w:rsidRPr="00D96661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D96661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6BE433B" w14:textId="77777777" w:rsidR="00350479" w:rsidRPr="00D96661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25DB2B" w14:textId="77777777" w:rsidR="00350479" w:rsidRPr="00D96661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719F7AF9" w14:textId="77777777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14:paraId="3C71B7A8" w14:textId="49D2B2ED" w:rsidR="004D2FB2" w:rsidRPr="00D96661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D96661">
              <w:rPr>
                <w:rFonts w:ascii="Calibri" w:hAnsi="Calibri"/>
                <w:i/>
                <w:szCs w:val="24"/>
              </w:rPr>
              <w:t xml:space="preserve">Iesniedz </w:t>
            </w:r>
            <w:r w:rsidRPr="00D96661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B7021C" w:rsidRPr="00D96661">
              <w:rPr>
                <w:rFonts w:ascii="Calibri" w:hAnsi="Calibri"/>
                <w:b/>
                <w:i/>
                <w:szCs w:val="24"/>
              </w:rPr>
              <w:t>2026</w:t>
            </w:r>
            <w:r w:rsidR="00AF4876" w:rsidRPr="00D96661">
              <w:rPr>
                <w:rFonts w:ascii="Calibri" w:hAnsi="Calibri"/>
                <w:b/>
                <w:i/>
                <w:szCs w:val="24"/>
              </w:rPr>
              <w:t>.</w:t>
            </w:r>
            <w:r w:rsidR="000C3C50" w:rsidRPr="00D96661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D96661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224AD" w:rsidRPr="00D96661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D96661">
              <w:rPr>
                <w:rFonts w:ascii="Calibri" w:hAnsi="Calibri"/>
                <w:b/>
                <w:i/>
                <w:szCs w:val="24"/>
              </w:rPr>
              <w:t>.</w:t>
            </w:r>
            <w:r w:rsidR="00DD31D4" w:rsidRPr="00D96661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06549" w:rsidRPr="00D96661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6E061A2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3DA596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7D74949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B26EA0A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1EED7CB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65CB838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9233B3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A310E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A67AF5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B8161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D93CE8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993D5AB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6BE9EA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9DA5FA2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936811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78D8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22464A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2A8279A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B02ECBB" w14:textId="6CADC8F4" w:rsidR="00381A7A" w:rsidRPr="0046799F" w:rsidRDefault="00B3649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B3649F"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409434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0C0B2D1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6A824260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951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1FD56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3CD2DC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614EF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54E036E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94B225E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272485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83385" w:rsidRPr="0046799F" w14:paraId="7DC52E6C" w14:textId="77777777" w:rsidTr="00A82311">
        <w:tblPrEx>
          <w:tblCellMar>
            <w:left w:w="56" w:type="dxa"/>
            <w:right w:w="56" w:type="dxa"/>
          </w:tblCellMar>
        </w:tblPrEx>
        <w:trPr>
          <w:gridAfter w:val="4"/>
          <w:wAfter w:w="5157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CE653ED" w14:textId="77777777" w:rsidR="00483385" w:rsidRPr="0046799F" w:rsidRDefault="0048338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797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B4FF22" w14:textId="6D766F4B" w:rsidR="00483385" w:rsidRPr="0046799F" w:rsidRDefault="00483385" w:rsidP="00483385">
            <w:pPr>
              <w:ind w:left="57"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39D1FD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092DF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D9E5543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CCD4BD2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B39D16B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3CF1D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6DC61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AE2B1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75C5F88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707D17C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F8ED153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010FA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44C263D7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289F233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A0623FC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CA88D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178079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15ABFE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942B49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F170654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57D3043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1A0DD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50540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AEC97A4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B1293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D8824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ED0E06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24C5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B67BD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B8EA5A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347F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FCB9B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494FC583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0D72C178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6F209F" wp14:editId="29433A1F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74C900" w14:textId="0E972D5C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Apsekojuma mērķis ir iegūt  informāciju </w:t>
            </w:r>
            <w:r w:rsidRPr="00F224AD">
              <w:rPr>
                <w:rFonts w:ascii="Calibri" w:hAnsi="Calibri"/>
                <w:sz w:val="20"/>
              </w:rPr>
              <w:t xml:space="preserve">par </w:t>
            </w:r>
            <w:r w:rsidR="00166F20" w:rsidRPr="00F224AD">
              <w:rPr>
                <w:rFonts w:ascii="Calibri" w:hAnsi="Calibri"/>
                <w:sz w:val="20"/>
              </w:rPr>
              <w:t xml:space="preserve">saņemtajiem un patērētajiem </w:t>
            </w:r>
            <w:r w:rsidRPr="00F224AD">
              <w:rPr>
                <w:rFonts w:ascii="Calibri" w:hAnsi="Calibri"/>
                <w:sz w:val="20"/>
              </w:rPr>
              <w:t xml:space="preserve">dabasgāzes </w:t>
            </w:r>
            <w:r w:rsidR="00166F20" w:rsidRPr="00F224AD">
              <w:rPr>
                <w:rFonts w:ascii="Calibri" w:hAnsi="Calibri"/>
                <w:sz w:val="20"/>
              </w:rPr>
              <w:t>daudzumiem</w:t>
            </w:r>
            <w:r w:rsidRPr="00523DFD">
              <w:rPr>
                <w:rFonts w:ascii="Calibri" w:hAnsi="Calibri"/>
                <w:sz w:val="20"/>
              </w:rPr>
              <w:t xml:space="preserve"> valstī un izstrādāt Latvijas energobilanci.</w:t>
            </w:r>
          </w:p>
        </w:tc>
      </w:tr>
      <w:tr w:rsidR="003D0453" w:rsidRPr="0046799F" w14:paraId="0F47A945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14591B7E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9803F" wp14:editId="5459A137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9806FA4" w14:textId="7CE6A2A8" w:rsidR="003D0453" w:rsidRPr="0046799F" w:rsidRDefault="0016724C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Ar apsekojuma rezultātiem var iepazīties informatīvajā apskatā „Latvijas energobilance”,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BE3B8D">
              <w:rPr>
                <w:rFonts w:ascii="Calibri" w:hAnsi="Calibri" w:cs="Calibri"/>
                <w:sz w:val="20"/>
              </w:rPr>
              <w:t>ficiālās statistikas portāla sadaļā "</w:t>
            </w:r>
            <w:hyperlink r:id="rId10" w:history="1">
              <w:r w:rsidRPr="0016724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16724C">
              <w:rPr>
                <w:rFonts w:ascii="Calibri" w:hAnsi="Calibri" w:cs="Calibri"/>
                <w:sz w:val="20"/>
              </w:rPr>
              <w:t>”</w:t>
            </w:r>
            <w:r w:rsidR="00B7021C">
              <w:rPr>
                <w:rFonts w:ascii="Calibri" w:hAnsi="Calibri" w:cs="Calibri"/>
                <w:sz w:val="20"/>
              </w:rPr>
              <w:t>.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51FBC709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4B356281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A10CFAB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30F7E0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462E9F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1B6D2F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DC841F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696B031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DF2022B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84A1892" w14:textId="01C6F4E7" w:rsidR="00523DFD" w:rsidRPr="00E0193D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 xml:space="preserve">1. Dabasgāzes </w:t>
      </w:r>
      <w:r w:rsidR="00166F20" w:rsidRPr="00E0193D">
        <w:rPr>
          <w:rFonts w:ascii="Calibri" w:hAnsi="Calibri" w:cs="Calibri"/>
          <w:b/>
          <w:color w:val="000000"/>
        </w:rPr>
        <w:t xml:space="preserve">saņemšana un </w:t>
      </w:r>
      <w:r w:rsidR="00523DFD" w:rsidRPr="00E0193D">
        <w:rPr>
          <w:rFonts w:ascii="Calibri" w:hAnsi="Calibri" w:cs="Calibri"/>
          <w:b/>
          <w:color w:val="000000"/>
        </w:rPr>
        <w:t xml:space="preserve">piegāde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E0193D" w14:paraId="60EBC520" w14:textId="77777777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D9D509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286EA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296A9C" w14:textId="77777777" w:rsidR="00752916" w:rsidRPr="00E0193D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MWh </w:t>
            </w:r>
          </w:p>
        </w:tc>
      </w:tr>
      <w:tr w:rsidR="00752916" w:rsidRPr="00E0193D" w14:paraId="2DC2AA15" w14:textId="77777777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F6506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76D828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4F497A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E0193D" w14:paraId="21A11590" w14:textId="77777777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14:paraId="2003BC86" w14:textId="1041D794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Dabasgāzes rezerve pārvades sistēmas operatora (PSO) sistēmā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4A6432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14:paraId="00FDBF5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5C1F8D9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BC50351" w14:textId="2137D1AA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 saņemtie daudzumi starpvalstu ieejas punktos</w:t>
            </w:r>
          </w:p>
        </w:tc>
        <w:tc>
          <w:tcPr>
            <w:tcW w:w="892" w:type="dxa"/>
            <w:vAlign w:val="center"/>
          </w:tcPr>
          <w:p w14:paraId="101CFCC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14:paraId="431A1EE2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58D10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188546A" w14:textId="24E9C345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No  Latvijas PSO sistēm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as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nodotie daudzumi starpvalstu i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z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ejas punktos </w:t>
            </w:r>
          </w:p>
        </w:tc>
        <w:tc>
          <w:tcPr>
            <w:tcW w:w="892" w:type="dxa"/>
            <w:vAlign w:val="center"/>
          </w:tcPr>
          <w:p w14:paraId="261B4FEF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14:paraId="00D64D1C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4BF30A5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2572F84" w14:textId="0D8406BA" w:rsidR="00752916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patēriņš 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</w:t>
            </w:r>
          </w:p>
        </w:tc>
        <w:tc>
          <w:tcPr>
            <w:tcW w:w="892" w:type="dxa"/>
            <w:vAlign w:val="center"/>
          </w:tcPr>
          <w:p w14:paraId="25C6AE9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14:paraId="52240C27" w14:textId="77777777" w:rsidR="00752916" w:rsidRPr="00E0193D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18DC5341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5E05ABC" w14:textId="77777777" w:rsidR="00752916" w:rsidRPr="00E0193D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4B05C1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14:paraId="36E8B7B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A24797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7729671" w14:textId="26751FE9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piegāde 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Latvijas sadales sistēmas operatoram (SSO)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62023EDF" w14:textId="17D98CA1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01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0B32D85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470DF" w:rsidRPr="00523DFD" w14:paraId="53C3DE9C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19E41297" w14:textId="3B19CF69" w:rsidR="00D470DF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piegāde patērētājiem Latvijā (aizpilda dabasgāzes tirgotāji)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DA9DE54" w14:textId="0FF4AEFE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58C3348D" w14:textId="77777777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6CE410" w14:textId="77777777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4A1385B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7FBE65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15C10F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0676E10" w14:textId="77777777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14:paraId="2E75F335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E0017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14:paraId="648C2B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339AB30" w14:textId="77777777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AF64443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64A5A0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4102606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04B556C" w14:textId="77777777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14:paraId="2668FA66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45AEA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ED3D9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AFBEC5F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518CEE0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33C53B8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3089367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7D0AE1" w14:textId="77777777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DA7AA43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343BBD8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72E3DC0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282322" w14:textId="77777777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14:paraId="1A1729D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05ACD74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2CA8A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6CC5B8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1D898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14:paraId="6D616B2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14:paraId="4D59BD9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B67EC8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8E0DB14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14:paraId="15418A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14:paraId="0E6DE9F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71C69E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2A7966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14:paraId="4D80277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14:paraId="487762F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948DB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818C54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14:paraId="3953F06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14:paraId="643A9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98BC809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0E4E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14:paraId="14DAB96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14:paraId="26071A6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6604E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286087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14:paraId="6AFEA49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14:paraId="45FD81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51792D5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9D6C6F8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14:paraId="4F9BE2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14:paraId="2A52C9E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41B914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68C3E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14:paraId="32305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14:paraId="045B225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C3F557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F65FAB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14:paraId="364F74F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14:paraId="21476D7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3B3FA72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BF3510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14:paraId="266377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14:paraId="50E9C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BDCF58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A9BADED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14:paraId="616C0D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14:paraId="09548E1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D0DD09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6C52E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14:paraId="45982C5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14:paraId="79E90F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061B3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6078E9E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14:paraId="3AF6F6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14:paraId="2F5E419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6C94238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B4DCD2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14:paraId="52C49E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14:paraId="5BF1F6C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77C8D7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A22DA1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14:paraId="761570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14:paraId="2F7AAE2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C738CD4" w14:textId="77777777" w:rsidTr="00F4456B">
        <w:trPr>
          <w:trHeight w:val="584"/>
        </w:trPr>
        <w:tc>
          <w:tcPr>
            <w:tcW w:w="6480" w:type="dxa"/>
            <w:vAlign w:val="center"/>
          </w:tcPr>
          <w:p w14:paraId="5E609C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14:paraId="3B551DE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14:paraId="4B69FF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7EE7DC7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535C1030" w14:textId="3AD9EE06" w:rsidR="00523DFD" w:rsidRPr="00296E6E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96E6E">
        <w:rPr>
          <w:rFonts w:ascii="Calibri" w:hAnsi="Calibri" w:cs="Calibri"/>
          <w:sz w:val="18"/>
          <w:szCs w:val="18"/>
        </w:rPr>
        <w:t>*</w:t>
      </w:r>
      <w:r w:rsidR="00153C91" w:rsidRPr="00296E6E">
        <w:rPr>
          <w:rFonts w:ascii="Calibri" w:hAnsi="Calibri" w:cs="Calibri"/>
          <w:sz w:val="18"/>
          <w:szCs w:val="18"/>
        </w:rPr>
        <w:tab/>
      </w:r>
      <w:r w:rsidR="00523DFD" w:rsidRPr="00296E6E">
        <w:rPr>
          <w:rFonts w:ascii="Calibri" w:hAnsi="Calibri" w:cs="Calibri"/>
          <w:sz w:val="18"/>
          <w:szCs w:val="18"/>
        </w:rPr>
        <w:t xml:space="preserve">Saimniecisko darbību statistisko klasifikāciju (NACE 2. red.) skatīt </w:t>
      </w:r>
      <w:r w:rsidR="001F426F" w:rsidRPr="00296E6E">
        <w:rPr>
          <w:rFonts w:ascii="Calibri" w:hAnsi="Calibri" w:cs="Calibri"/>
          <w:sz w:val="18"/>
          <w:szCs w:val="18"/>
        </w:rPr>
        <w:t>CSP</w:t>
      </w:r>
      <w:r w:rsidR="00523DFD" w:rsidRPr="00296E6E">
        <w:rPr>
          <w:rFonts w:ascii="Calibri" w:hAnsi="Calibri" w:cs="Calibri"/>
          <w:sz w:val="18"/>
          <w:szCs w:val="18"/>
        </w:rPr>
        <w:t xml:space="preserve">  mājaslapā  www.csb.gov.lv sadaļā </w:t>
      </w:r>
      <w:r w:rsidR="00D470DF" w:rsidRPr="00296E6E">
        <w:rPr>
          <w:rFonts w:ascii="Calibri" w:hAnsi="Calibri" w:cs="Calibri"/>
          <w:sz w:val="18"/>
          <w:szCs w:val="18"/>
        </w:rPr>
        <w:t>„</w:t>
      </w:r>
      <w:hyperlink r:id="rId11" w:history="1">
        <w:r w:rsidR="00D470DF" w:rsidRPr="00296E6E">
          <w:rPr>
            <w:rStyle w:val="Hyperlink"/>
            <w:rFonts w:ascii="Calibri" w:hAnsi="Calibri" w:cs="Calibri"/>
            <w:color w:val="auto"/>
            <w:sz w:val="18"/>
            <w:szCs w:val="18"/>
          </w:rPr>
          <w:t>Klasifikācijas</w:t>
        </w:r>
      </w:hyperlink>
      <w:r w:rsidR="00660EC1" w:rsidRPr="00296E6E">
        <w:rPr>
          <w:rFonts w:ascii="Calibri" w:hAnsi="Calibri" w:cs="Calibri"/>
          <w:sz w:val="18"/>
          <w:szCs w:val="18"/>
        </w:rPr>
        <w:t>”.</w:t>
      </w:r>
    </w:p>
    <w:p w14:paraId="0DE5D390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44F1F1C9" w14:textId="77777777"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D587E3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14:paraId="43F8D258" w14:textId="77777777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CAB71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F3D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4D2E5E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MWh </w:t>
            </w:r>
          </w:p>
        </w:tc>
      </w:tr>
      <w:tr w:rsidR="00752916" w:rsidRPr="003D41C1" w14:paraId="767AF7E5" w14:textId="77777777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AA60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568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FD037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61971FAA" w14:textId="77777777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14:paraId="6684FC35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6CC6C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3B6660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0B1566" w14:textId="77777777" w:rsidTr="00F4456B">
        <w:trPr>
          <w:trHeight w:val="428"/>
        </w:trPr>
        <w:tc>
          <w:tcPr>
            <w:tcW w:w="6887" w:type="dxa"/>
            <w:vAlign w:val="center"/>
          </w:tcPr>
          <w:p w14:paraId="7DA6A8A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14:paraId="7DA0FE1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24406FB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5CA3B3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40DA4C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14:paraId="5603733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5D6719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182E23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800EAFD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14:paraId="7643A10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1B85A7C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CB26018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2C94FF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14:paraId="5A5CC5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341CB75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B08A9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21D4A3D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14:paraId="68B5F7F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7F7085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DEC5C9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26654661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14:paraId="1649B4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24B0CE7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E73948" w14:textId="77777777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14:paraId="5FA874F4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C9B90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5709329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08A6BD" w14:textId="77777777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14:paraId="3F8D31E2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26BF83D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1C30C5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7889176" w14:textId="77777777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14:paraId="64F16944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1C602F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11B188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BDC77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D415254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14:paraId="5E0041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4ACE3B1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3D5390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9AA9A0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14:paraId="4B6A47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473A54D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D34E5B7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F9D6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14:paraId="1CB8097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5B4FBDE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B0B2C5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15D6A0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14:paraId="47BA8D5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5ACD8F9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96B5BF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6AFCE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14:paraId="718B617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0B2773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8358F0D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7C71CC7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14:paraId="3CA7E79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106B876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2F636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BD8E0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14:paraId="47FEBE7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12DDDB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D24D60C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048C5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14:paraId="0E894C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443B97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B2DFC7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934659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14:paraId="7A2B67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6E37BBD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E64B23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E3A9D6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14:paraId="09B6036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26ACCDE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9461DD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816063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14:paraId="4FF9D0E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3DCF6AE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873784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1F32109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14:paraId="17473A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2288E2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C947A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0DAD0C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14:paraId="6589368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5BFE45D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BB182F5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8CDCA1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14:paraId="09CFF0E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0959F8F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56E0A30" w14:textId="77777777" w:rsidTr="00F4456B">
        <w:trPr>
          <w:trHeight w:val="308"/>
        </w:trPr>
        <w:tc>
          <w:tcPr>
            <w:tcW w:w="6887" w:type="dxa"/>
            <w:vAlign w:val="center"/>
          </w:tcPr>
          <w:p w14:paraId="43F9DFA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ārpusteritoriālo organizāciju un institūciju darbība (NACE 99)</w:t>
            </w:r>
          </w:p>
        </w:tc>
        <w:tc>
          <w:tcPr>
            <w:tcW w:w="892" w:type="dxa"/>
            <w:vAlign w:val="center"/>
          </w:tcPr>
          <w:p w14:paraId="6406AE3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6F55461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A4E228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5989B1C5" w14:textId="77777777"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14:paraId="1275C6B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B54D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8E0D49E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2084D0CE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224B32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9CEAD7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BA8265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744981F2" w14:textId="6AAB57D2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Zudumi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PSO sistēmā</w:t>
            </w:r>
          </w:p>
        </w:tc>
        <w:tc>
          <w:tcPr>
            <w:tcW w:w="892" w:type="dxa"/>
            <w:vAlign w:val="center"/>
          </w:tcPr>
          <w:p w14:paraId="430B04D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18C69E7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EA52F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C290887" w14:textId="0FD031C2" w:rsidR="00752916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rezerve PSO sistēmā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>gada beigās</w:t>
            </w:r>
          </w:p>
        </w:tc>
        <w:tc>
          <w:tcPr>
            <w:tcW w:w="892" w:type="dxa"/>
            <w:vAlign w:val="center"/>
          </w:tcPr>
          <w:p w14:paraId="1D38E07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2A08CC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25FF2B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56BAD85B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590AFCB0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1C38C435" w14:textId="77777777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8CDFC8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1A816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4A492F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E646DA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080437D1" w14:textId="77777777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48CBE2C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50C77E4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044340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238D8A6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06B1F76F" w14:textId="77777777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DDF397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1D6B73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3F2D7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BF2316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B951C81" w14:textId="77777777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746E1B49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F19C80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5B1BFFAC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5C2C53BB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BBE2CEC" w14:textId="77777777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73461A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6B5500A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05E84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78AC7980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D5706E0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9CE124F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11A1197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6C5BEAD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D4CFB72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40D9244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EAF9DA2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323F3D0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3F14DBA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E3C8D83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9299995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7B0EC9A" w14:textId="59E37073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70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un lielāki</w:t>
            </w:r>
          </w:p>
        </w:tc>
        <w:tc>
          <w:tcPr>
            <w:tcW w:w="1530" w:type="dxa"/>
            <w:vAlign w:val="center"/>
          </w:tcPr>
          <w:p w14:paraId="0971CF1A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6E22D54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95D3E3E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3F0CD7F3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BF5A06C" w14:textId="604EC414" w:rsidR="00523DFD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Gāzesvadu atzaru garums</w:t>
            </w:r>
          </w:p>
        </w:tc>
        <w:tc>
          <w:tcPr>
            <w:tcW w:w="1530" w:type="dxa"/>
            <w:vAlign w:val="center"/>
          </w:tcPr>
          <w:p w14:paraId="4918516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44F70A1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544A3CD7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A10A7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AC568EE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25762A1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5D6F912E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1C21719F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E914F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BF398B9" w14:textId="77777777" w:rsidR="00523DFD" w:rsidRPr="00E0193D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E0193D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4B36DDC7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12E6FCC7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E0193D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h</w:t>
            </w:r>
          </w:p>
        </w:tc>
        <w:tc>
          <w:tcPr>
            <w:tcW w:w="2565" w:type="dxa"/>
            <w:vAlign w:val="center"/>
          </w:tcPr>
          <w:p w14:paraId="427C1DD5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7C6AD5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7A089F3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04D8ED1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110C85F1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MWh</w:t>
            </w:r>
          </w:p>
        </w:tc>
        <w:tc>
          <w:tcPr>
            <w:tcW w:w="2565" w:type="dxa"/>
            <w:vAlign w:val="center"/>
          </w:tcPr>
          <w:p w14:paraId="287B2852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11D5224E" w14:textId="5A05B0E0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7C8B4782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zemākā gāzes siltumspēja</w:t>
            </w:r>
          </w:p>
        </w:tc>
        <w:tc>
          <w:tcPr>
            <w:tcW w:w="1530" w:type="dxa"/>
            <w:vAlign w:val="center"/>
          </w:tcPr>
          <w:p w14:paraId="064349BB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5E703604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275F76A4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20BB92B1" w14:textId="14572F52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3891BE90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augstākā gāzes siltumspēja</w:t>
            </w:r>
          </w:p>
        </w:tc>
        <w:tc>
          <w:tcPr>
            <w:tcW w:w="1530" w:type="dxa"/>
            <w:vAlign w:val="center"/>
          </w:tcPr>
          <w:p w14:paraId="4A4864F1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280</w:t>
            </w:r>
          </w:p>
        </w:tc>
        <w:tc>
          <w:tcPr>
            <w:tcW w:w="1350" w:type="dxa"/>
            <w:vAlign w:val="center"/>
          </w:tcPr>
          <w:p w14:paraId="56554818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6FBF2A0A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BF52E30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47F9AEC5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50B29268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14:paraId="741E59B6" w14:textId="77777777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14:paraId="6DA78DA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14:paraId="4FF117E7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14:paraId="6F2EDE98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Pavisam, MWh</w:t>
            </w:r>
          </w:p>
        </w:tc>
      </w:tr>
      <w:tr w:rsidR="00523DFD" w:rsidRPr="00523DFD" w14:paraId="4DBB3FDD" w14:textId="77777777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14:paraId="4B649BE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14:paraId="6DBE698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14:paraId="3CE2394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40F30F69" w14:textId="77777777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8DE58B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BBA5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17B7C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00013B8D" w14:textId="77777777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47A30430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3E4857F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00E22DB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C4B04D9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4A5630D1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9BA7C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5980C679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5DDF674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2505BA19" w14:textId="308DC84F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bufergāze</w:t>
            </w:r>
          </w:p>
        </w:tc>
        <w:tc>
          <w:tcPr>
            <w:tcW w:w="1417" w:type="dxa"/>
            <w:vAlign w:val="center"/>
          </w:tcPr>
          <w:p w14:paraId="67C10C9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14:paraId="740C45C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655DBA7A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7F449016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14:paraId="04589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14:paraId="5556288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A1666D" w14:textId="77777777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14:paraId="57C7C8B0" w14:textId="77777777" w:rsidR="00523DFD" w:rsidRPr="00E0193D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266AF722" w14:textId="77777777" w:rsidR="00523DFD" w:rsidRPr="00E0193D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14:paraId="70979C1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14:paraId="034C9FF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B0749FD" w14:textId="77777777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23E33712" w14:textId="77777777" w:rsidR="00523DFD" w:rsidRPr="00E0193D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EC4855A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343CC96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4137E38D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01AE3306" w14:textId="77777777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2E82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6EDD7755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541C17F0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182172D0" w14:textId="66C34D04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bufergāze</w:t>
            </w:r>
          </w:p>
        </w:tc>
        <w:tc>
          <w:tcPr>
            <w:tcW w:w="1417" w:type="dxa"/>
            <w:vAlign w:val="center"/>
          </w:tcPr>
          <w:p w14:paraId="563E603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14:paraId="31FD0E5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7E39F3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54CF477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14:paraId="2EF4EAE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14:paraId="04E3AD5B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</w:tbl>
    <w:p w14:paraId="7BEFE8CD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5CDDC9A2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DC2E8A0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63082E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3DC68B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6A9D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D3EB7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1CABDDC8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0867F955" w14:textId="36FAFBC5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96661">
        <w:rPr>
          <w:rFonts w:ascii="Calibri" w:hAnsi="Calibri" w:cs="Calibri"/>
          <w:sz w:val="22"/>
          <w:szCs w:val="22"/>
        </w:rPr>
        <w:t>20</w:t>
      </w:r>
      <w:r w:rsidR="00E0193D" w:rsidRPr="00D96661">
        <w:rPr>
          <w:rFonts w:ascii="Calibri" w:hAnsi="Calibri" w:cs="Calibri"/>
          <w:sz w:val="22"/>
          <w:szCs w:val="22"/>
        </w:rPr>
        <w:t>2</w:t>
      </w:r>
      <w:r w:rsidR="00A41049" w:rsidRPr="00D96661">
        <w:rPr>
          <w:rFonts w:ascii="Calibri" w:hAnsi="Calibri" w:cs="Calibri"/>
          <w:sz w:val="22"/>
          <w:szCs w:val="22"/>
        </w:rPr>
        <w:t>6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17D4E3C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D334872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4AB" w14:textId="77777777" w:rsidR="000F38D7" w:rsidRDefault="000F38D7">
      <w:r>
        <w:separator/>
      </w:r>
    </w:p>
  </w:endnote>
  <w:endnote w:type="continuationSeparator" w:id="0">
    <w:p w14:paraId="07803D67" w14:textId="77777777" w:rsidR="000F38D7" w:rsidRDefault="000F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21E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D47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0A0C" w14:textId="77777777" w:rsidR="000F38D7" w:rsidRDefault="000F38D7">
      <w:r>
        <w:separator/>
      </w:r>
    </w:p>
  </w:footnote>
  <w:footnote w:type="continuationSeparator" w:id="0">
    <w:p w14:paraId="09C18EAF" w14:textId="77777777" w:rsidR="000F38D7" w:rsidRDefault="000F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9779317">
    <w:abstractNumId w:val="0"/>
  </w:num>
  <w:num w:numId="2" w16cid:durableId="998849203">
    <w:abstractNumId w:val="1"/>
  </w:num>
  <w:num w:numId="3" w16cid:durableId="1559240247">
    <w:abstractNumId w:val="3"/>
  </w:num>
  <w:num w:numId="4" w16cid:durableId="30034182">
    <w:abstractNumId w:val="2"/>
  </w:num>
  <w:num w:numId="5" w16cid:durableId="844514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7353E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38D7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66F20"/>
    <w:rsid w:val="0016724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96E6E"/>
    <w:rsid w:val="002B202D"/>
    <w:rsid w:val="002B5106"/>
    <w:rsid w:val="002C342D"/>
    <w:rsid w:val="002E0CEA"/>
    <w:rsid w:val="002E346F"/>
    <w:rsid w:val="002F1249"/>
    <w:rsid w:val="00315089"/>
    <w:rsid w:val="003265D3"/>
    <w:rsid w:val="0034034A"/>
    <w:rsid w:val="0034703B"/>
    <w:rsid w:val="00350479"/>
    <w:rsid w:val="003766CF"/>
    <w:rsid w:val="00377C7D"/>
    <w:rsid w:val="00381A7A"/>
    <w:rsid w:val="00391D58"/>
    <w:rsid w:val="0039273B"/>
    <w:rsid w:val="003A0FCB"/>
    <w:rsid w:val="003A5D20"/>
    <w:rsid w:val="003B273F"/>
    <w:rsid w:val="003B2E95"/>
    <w:rsid w:val="003C121B"/>
    <w:rsid w:val="003D0453"/>
    <w:rsid w:val="003D41C1"/>
    <w:rsid w:val="003E6171"/>
    <w:rsid w:val="003F2B5A"/>
    <w:rsid w:val="00417ED7"/>
    <w:rsid w:val="00424724"/>
    <w:rsid w:val="004519A7"/>
    <w:rsid w:val="00460576"/>
    <w:rsid w:val="00461919"/>
    <w:rsid w:val="004651CF"/>
    <w:rsid w:val="0046799F"/>
    <w:rsid w:val="004733F4"/>
    <w:rsid w:val="00480188"/>
    <w:rsid w:val="00483385"/>
    <w:rsid w:val="004B38B4"/>
    <w:rsid w:val="004B3EAB"/>
    <w:rsid w:val="004C3BF7"/>
    <w:rsid w:val="004C4CBD"/>
    <w:rsid w:val="004D2FB2"/>
    <w:rsid w:val="00501B22"/>
    <w:rsid w:val="00513258"/>
    <w:rsid w:val="00520EC5"/>
    <w:rsid w:val="00523DFD"/>
    <w:rsid w:val="00543597"/>
    <w:rsid w:val="00562090"/>
    <w:rsid w:val="00574EE8"/>
    <w:rsid w:val="00580209"/>
    <w:rsid w:val="00583840"/>
    <w:rsid w:val="00583D1B"/>
    <w:rsid w:val="00586A3E"/>
    <w:rsid w:val="005B00A9"/>
    <w:rsid w:val="005F75DB"/>
    <w:rsid w:val="006005F7"/>
    <w:rsid w:val="00603E34"/>
    <w:rsid w:val="00606279"/>
    <w:rsid w:val="0061557A"/>
    <w:rsid w:val="00633C8C"/>
    <w:rsid w:val="00644A92"/>
    <w:rsid w:val="006470D6"/>
    <w:rsid w:val="00660EC1"/>
    <w:rsid w:val="00664CC7"/>
    <w:rsid w:val="006778A3"/>
    <w:rsid w:val="0068143F"/>
    <w:rsid w:val="00693FFE"/>
    <w:rsid w:val="006A55B9"/>
    <w:rsid w:val="006D6B03"/>
    <w:rsid w:val="00704415"/>
    <w:rsid w:val="00726619"/>
    <w:rsid w:val="00731296"/>
    <w:rsid w:val="00750581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63942"/>
    <w:rsid w:val="00870403"/>
    <w:rsid w:val="008742B8"/>
    <w:rsid w:val="008939C4"/>
    <w:rsid w:val="008B717B"/>
    <w:rsid w:val="008C3E03"/>
    <w:rsid w:val="008C61DF"/>
    <w:rsid w:val="008E45C2"/>
    <w:rsid w:val="008E5111"/>
    <w:rsid w:val="00977A75"/>
    <w:rsid w:val="00986FFD"/>
    <w:rsid w:val="00994F7E"/>
    <w:rsid w:val="009A2A58"/>
    <w:rsid w:val="009B22BC"/>
    <w:rsid w:val="009B6BF1"/>
    <w:rsid w:val="009C4922"/>
    <w:rsid w:val="009C78E2"/>
    <w:rsid w:val="009E283F"/>
    <w:rsid w:val="00A03090"/>
    <w:rsid w:val="00A05719"/>
    <w:rsid w:val="00A06549"/>
    <w:rsid w:val="00A141BF"/>
    <w:rsid w:val="00A16754"/>
    <w:rsid w:val="00A31367"/>
    <w:rsid w:val="00A4050A"/>
    <w:rsid w:val="00A41049"/>
    <w:rsid w:val="00A65907"/>
    <w:rsid w:val="00A724C8"/>
    <w:rsid w:val="00A8367D"/>
    <w:rsid w:val="00A929B9"/>
    <w:rsid w:val="00AC1696"/>
    <w:rsid w:val="00AC1B58"/>
    <w:rsid w:val="00AC5C51"/>
    <w:rsid w:val="00AD3CC3"/>
    <w:rsid w:val="00AF4876"/>
    <w:rsid w:val="00AF555B"/>
    <w:rsid w:val="00B04253"/>
    <w:rsid w:val="00B0551F"/>
    <w:rsid w:val="00B1454A"/>
    <w:rsid w:val="00B3649F"/>
    <w:rsid w:val="00B45C59"/>
    <w:rsid w:val="00B7021C"/>
    <w:rsid w:val="00BA4667"/>
    <w:rsid w:val="00BD3D0B"/>
    <w:rsid w:val="00BE2FB9"/>
    <w:rsid w:val="00BF147D"/>
    <w:rsid w:val="00BF4E7E"/>
    <w:rsid w:val="00BF5EA8"/>
    <w:rsid w:val="00C05323"/>
    <w:rsid w:val="00C203F3"/>
    <w:rsid w:val="00C45044"/>
    <w:rsid w:val="00C45150"/>
    <w:rsid w:val="00C55F65"/>
    <w:rsid w:val="00C5795E"/>
    <w:rsid w:val="00C60204"/>
    <w:rsid w:val="00C7064F"/>
    <w:rsid w:val="00C7161A"/>
    <w:rsid w:val="00C8290F"/>
    <w:rsid w:val="00CC6947"/>
    <w:rsid w:val="00CD326B"/>
    <w:rsid w:val="00CE4592"/>
    <w:rsid w:val="00CE7C9B"/>
    <w:rsid w:val="00D10C7A"/>
    <w:rsid w:val="00D14A5C"/>
    <w:rsid w:val="00D27FDA"/>
    <w:rsid w:val="00D436D6"/>
    <w:rsid w:val="00D470DF"/>
    <w:rsid w:val="00D53450"/>
    <w:rsid w:val="00D57FC0"/>
    <w:rsid w:val="00D8043A"/>
    <w:rsid w:val="00D96661"/>
    <w:rsid w:val="00DA4C6C"/>
    <w:rsid w:val="00DB1582"/>
    <w:rsid w:val="00DD31D4"/>
    <w:rsid w:val="00DE7BD9"/>
    <w:rsid w:val="00E0193D"/>
    <w:rsid w:val="00E13836"/>
    <w:rsid w:val="00E21626"/>
    <w:rsid w:val="00E3392A"/>
    <w:rsid w:val="00E34035"/>
    <w:rsid w:val="00E4448A"/>
    <w:rsid w:val="00E46FC8"/>
    <w:rsid w:val="00E80BF9"/>
    <w:rsid w:val="00E8477B"/>
    <w:rsid w:val="00E857E3"/>
    <w:rsid w:val="00E96820"/>
    <w:rsid w:val="00ED3D38"/>
    <w:rsid w:val="00ED40FA"/>
    <w:rsid w:val="00ED61CC"/>
    <w:rsid w:val="00EE2492"/>
    <w:rsid w:val="00EF3ED0"/>
    <w:rsid w:val="00EF7238"/>
    <w:rsid w:val="00F224AD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B09F43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470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0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0DF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2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39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b.gov.lv/lv/statistika/klasifikacijas?combine=N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A3E8-F0CE-43BA-B204-42FA927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6234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Una Medne</cp:lastModifiedBy>
  <cp:revision>3</cp:revision>
  <cp:lastPrinted>2025-07-15T09:10:00Z</cp:lastPrinted>
  <dcterms:created xsi:type="dcterms:W3CDTF">2025-10-20T08:40:00Z</dcterms:created>
  <dcterms:modified xsi:type="dcterms:W3CDTF">2025-10-20T14:13:00Z</dcterms:modified>
</cp:coreProperties>
</file>