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256A4B28" w:rsidR="0051672D" w:rsidRPr="00883277" w:rsidRDefault="00A82BFA" w:rsidP="008A257A">
      <w:pPr>
        <w:spacing w:after="120" w:line="240" w:lineRule="auto"/>
        <w:ind w:left="0"/>
        <w:rPr>
          <w:sz w:val="26"/>
          <w:szCs w:val="26"/>
        </w:rPr>
      </w:pPr>
      <w:r>
        <w:rPr>
          <w:sz w:val="26"/>
          <w:szCs w:val="26"/>
        </w:rPr>
        <w:t>“Pārskats par ieguldījumu kustību” (</w:t>
      </w:r>
      <w:bookmarkStart w:id="0" w:name="_Hlk40879117"/>
      <w:r>
        <w:rPr>
          <w:sz w:val="26"/>
          <w:szCs w:val="26"/>
        </w:rPr>
        <w:t>1-</w:t>
      </w:r>
      <w:bookmarkEnd w:id="0"/>
      <w:r>
        <w:rPr>
          <w:sz w:val="26"/>
          <w:szCs w:val="26"/>
        </w:rPr>
        <w:t>ieguldījumi)</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136262">
          <w:pPr>
            <w:pStyle w:val="TOC1"/>
            <w:rPr>
              <w:rFonts w:eastAsiaTheme="minorEastAsia"/>
              <w:noProof/>
              <w:color w:val="auto"/>
              <w:sz w:val="26"/>
              <w:szCs w:val="26"/>
              <w:u w:val="none"/>
              <w:lang w:eastAsia="lv-LV"/>
            </w:rPr>
          </w:pPr>
          <w:hyperlink w:anchor="_Toc70071548" w:history="1">
            <w:r w:rsidR="00C2402B" w:rsidRPr="00C2402B">
              <w:rPr>
                <w:rStyle w:val="Hyperlink"/>
                <w:noProof/>
                <w:sz w:val="26"/>
                <w:szCs w:val="26"/>
              </w:rPr>
              <w:t>Kāds ir tiesiskais pamats oficiālās statistikas nodrošināšanai?</w:t>
            </w:r>
            <w:r w:rsidR="00C2402B" w:rsidRPr="00C2402B">
              <w:rPr>
                <w:noProof/>
                <w:webHidden/>
                <w:sz w:val="26"/>
                <w:szCs w:val="26"/>
              </w:rPr>
              <w:t xml:space="preserve"> </w:t>
            </w:r>
          </w:hyperlink>
        </w:p>
        <w:p w14:paraId="1B512D0B" w14:textId="62CB0AEB" w:rsidR="00C2402B" w:rsidRPr="00C2402B" w:rsidRDefault="00136262">
          <w:pPr>
            <w:pStyle w:val="TOC1"/>
            <w:rPr>
              <w:rFonts w:eastAsiaTheme="minorEastAsia"/>
              <w:noProof/>
              <w:color w:val="auto"/>
              <w:sz w:val="26"/>
              <w:szCs w:val="26"/>
              <w:u w:val="none"/>
              <w:lang w:eastAsia="lv-LV"/>
            </w:rPr>
          </w:pPr>
          <w:hyperlink w:anchor="_Toc70071549" w:history="1">
            <w:r w:rsidR="00C2402B" w:rsidRPr="00C2402B">
              <w:rPr>
                <w:rStyle w:val="Hyperlink"/>
                <w:noProof/>
                <w:sz w:val="26"/>
                <w:szCs w:val="26"/>
              </w:rPr>
              <w:t>Kur ir noteikts pienākums iesniegt datus?</w:t>
            </w:r>
          </w:hyperlink>
          <w:r w:rsidR="00C2402B" w:rsidRPr="00C2402B">
            <w:rPr>
              <w:rFonts w:eastAsiaTheme="minorEastAsia"/>
              <w:noProof/>
              <w:color w:val="auto"/>
              <w:sz w:val="26"/>
              <w:szCs w:val="26"/>
              <w:u w:val="none"/>
              <w:lang w:eastAsia="lv-LV"/>
            </w:rPr>
            <w:t xml:space="preserve"> </w:t>
          </w:r>
        </w:p>
        <w:p w14:paraId="1439C91A" w14:textId="6FFC7D09" w:rsidR="00C2402B" w:rsidRPr="00C2402B" w:rsidRDefault="00136262">
          <w:pPr>
            <w:pStyle w:val="TOC1"/>
            <w:rPr>
              <w:rFonts w:eastAsiaTheme="minorEastAsia"/>
              <w:noProof/>
              <w:color w:val="auto"/>
              <w:sz w:val="26"/>
              <w:szCs w:val="26"/>
              <w:u w:val="none"/>
              <w:lang w:eastAsia="lv-LV"/>
            </w:rPr>
          </w:pPr>
          <w:hyperlink w:anchor="_Toc70071550"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Vai Pārvalde izmanto administratīvajos datu avotos (piemēram, valsts reģistros) pieejamo informāciju?</w:t>
            </w:r>
          </w:hyperlink>
          <w:r w:rsidR="00C2402B" w:rsidRPr="00C2402B">
            <w:rPr>
              <w:rFonts w:eastAsiaTheme="minorEastAsia"/>
              <w:noProof/>
              <w:color w:val="auto"/>
              <w:sz w:val="26"/>
              <w:szCs w:val="26"/>
              <w:u w:val="none"/>
              <w:lang w:eastAsia="lv-LV"/>
            </w:rPr>
            <w:t xml:space="preserve"> </w:t>
          </w:r>
        </w:p>
        <w:p w14:paraId="07E4B694" w14:textId="22F7698A" w:rsidR="00C2402B" w:rsidRPr="00C2402B" w:rsidRDefault="00136262">
          <w:pPr>
            <w:pStyle w:val="TOC1"/>
            <w:rPr>
              <w:rFonts w:eastAsiaTheme="minorEastAsia"/>
              <w:noProof/>
              <w:color w:val="auto"/>
              <w:sz w:val="26"/>
              <w:szCs w:val="26"/>
              <w:u w:val="none"/>
              <w:lang w:eastAsia="lv-LV"/>
            </w:rPr>
          </w:pPr>
          <w:hyperlink w:anchor="_Toc70071551" w:history="1">
            <w:r w:rsidR="00C2402B" w:rsidRPr="00C2402B">
              <w:rPr>
                <w:rStyle w:val="Hyperlink"/>
                <w:noProof/>
                <w:sz w:val="26"/>
                <w:szCs w:val="26"/>
              </w:rPr>
              <w:t>Kam ir jāiesniedz dati?</w:t>
            </w:r>
            <w:r w:rsidR="00C2402B" w:rsidRPr="00C2402B">
              <w:rPr>
                <w:noProof/>
                <w:webHidden/>
                <w:sz w:val="26"/>
                <w:szCs w:val="26"/>
              </w:rPr>
              <w:t xml:space="preserve"> </w:t>
            </w:r>
          </w:hyperlink>
        </w:p>
        <w:p w14:paraId="6C3CEDDB" w14:textId="62B52F33" w:rsidR="00C2402B" w:rsidRPr="00C2402B" w:rsidRDefault="00136262">
          <w:pPr>
            <w:pStyle w:val="TOC1"/>
            <w:rPr>
              <w:rFonts w:eastAsiaTheme="minorEastAsia"/>
              <w:noProof/>
              <w:color w:val="auto"/>
              <w:sz w:val="26"/>
              <w:szCs w:val="26"/>
              <w:u w:val="none"/>
              <w:lang w:eastAsia="lv-LV"/>
            </w:rPr>
          </w:pPr>
          <w:hyperlink w:anchor="_Toc70071552" w:history="1">
            <w:r w:rsidR="00C2402B" w:rsidRPr="00C2402B">
              <w:rPr>
                <w:rStyle w:val="Hyperlink"/>
                <w:noProof/>
                <w:sz w:val="26"/>
                <w:szCs w:val="26"/>
              </w:rPr>
              <w:t>Kur publicē oficiālo statistiku?</w:t>
            </w:r>
          </w:hyperlink>
          <w:r w:rsidR="00C2402B" w:rsidRPr="00C2402B">
            <w:rPr>
              <w:rFonts w:eastAsiaTheme="minorEastAsia"/>
              <w:noProof/>
              <w:color w:val="auto"/>
              <w:sz w:val="26"/>
              <w:szCs w:val="26"/>
              <w:u w:val="none"/>
              <w:lang w:eastAsia="lv-LV"/>
            </w:rPr>
            <w:t xml:space="preserve"> </w:t>
          </w:r>
        </w:p>
        <w:p w14:paraId="787DDD32" w14:textId="61F0282C" w:rsidR="00C2402B" w:rsidRPr="00C2402B" w:rsidRDefault="00136262">
          <w:pPr>
            <w:pStyle w:val="TOC1"/>
            <w:rPr>
              <w:rFonts w:eastAsiaTheme="minorEastAsia"/>
              <w:noProof/>
              <w:color w:val="auto"/>
              <w:sz w:val="26"/>
              <w:szCs w:val="26"/>
              <w:u w:val="none"/>
              <w:lang w:eastAsia="lv-LV"/>
            </w:rPr>
          </w:pPr>
          <w:hyperlink w:anchor="_Toc70071553" w:history="1">
            <w:r w:rsidR="00C2402B" w:rsidRPr="00C2402B">
              <w:rPr>
                <w:rStyle w:val="Hyperlink"/>
                <w:noProof/>
                <w:sz w:val="26"/>
                <w:szCs w:val="26"/>
              </w:rPr>
              <w:t>Kas ir galvenie oficiālās statistikas lietotāji?</w:t>
            </w:r>
            <w:r w:rsidR="00C2402B" w:rsidRPr="00C2402B">
              <w:rPr>
                <w:noProof/>
                <w:webHidden/>
                <w:sz w:val="26"/>
                <w:szCs w:val="26"/>
              </w:rPr>
              <w:t xml:space="preserve"> </w:t>
            </w:r>
          </w:hyperlink>
        </w:p>
        <w:p w14:paraId="0F9BC413" w14:textId="2075D076" w:rsidR="00C2402B" w:rsidRPr="00C2402B" w:rsidRDefault="00136262">
          <w:pPr>
            <w:pStyle w:val="TOC1"/>
            <w:rPr>
              <w:rFonts w:eastAsiaTheme="minorEastAsia"/>
              <w:noProof/>
              <w:color w:val="auto"/>
              <w:sz w:val="26"/>
              <w:szCs w:val="26"/>
              <w:u w:val="none"/>
              <w:lang w:eastAsia="lv-LV"/>
            </w:rPr>
          </w:pPr>
          <w:hyperlink w:anchor="_Toc70071554" w:history="1">
            <w:r w:rsidR="00C2402B" w:rsidRPr="00C2402B">
              <w:rPr>
                <w:rStyle w:val="Hyperlink"/>
                <w:noProof/>
                <w:sz w:val="26"/>
                <w:szCs w:val="26"/>
              </w:rPr>
              <w:t>Vai Pārvalde ievēro datu konfidencialitāti?</w:t>
            </w:r>
            <w:r w:rsidR="00C2402B" w:rsidRPr="00C2402B">
              <w:rPr>
                <w:noProof/>
                <w:webHidden/>
                <w:sz w:val="26"/>
                <w:szCs w:val="26"/>
              </w:rPr>
              <w:t xml:space="preserve"> </w:t>
            </w:r>
          </w:hyperlink>
        </w:p>
        <w:p w14:paraId="65BDB895" w14:textId="300CA9CA" w:rsidR="00C2402B" w:rsidRDefault="00136262">
          <w:pPr>
            <w:pStyle w:val="TOC1"/>
            <w:rPr>
              <w:rFonts w:asciiTheme="minorHAnsi" w:eastAsiaTheme="minorEastAsia" w:hAnsiTheme="minorHAnsi"/>
              <w:noProof/>
              <w:color w:val="auto"/>
              <w:sz w:val="22"/>
              <w:szCs w:val="22"/>
              <w:u w:val="none"/>
              <w:lang w:eastAsia="lv-LV"/>
            </w:rPr>
          </w:pPr>
          <w:hyperlink w:anchor="_Toc70071555" w:history="1">
            <w:r w:rsidR="00C2402B" w:rsidRPr="00C2402B">
              <w:rPr>
                <w:rStyle w:val="Hyperlink"/>
                <w:noProof/>
                <w:sz w:val="26"/>
                <w:szCs w:val="26"/>
              </w:rPr>
              <w:t>Vai Pārvalde ievēro Vispārējo datu aizsardzības regulu?</w:t>
            </w:r>
            <w:r w:rsidR="00C2402B" w:rsidRPr="00C2402B">
              <w:rPr>
                <w:noProof/>
                <w:webHidden/>
                <w:sz w:val="26"/>
                <w:szCs w:val="26"/>
              </w:rPr>
              <w:t xml:space="preserve"> </w:t>
            </w:r>
          </w:hyperlink>
        </w:p>
        <w:p w14:paraId="2E2DFDB3" w14:textId="3D9026B8"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199354BB" w14:textId="43091029" w:rsidR="00A82BFA" w:rsidRDefault="009404C8" w:rsidP="00A82BFA">
      <w:r w:rsidRPr="009404C8">
        <w:t xml:space="preserve">Pārvalde lūdz iesniegt datus, lai nodrošinātu lietotāju vajadzības, kas definētas </w:t>
      </w:r>
      <w:hyperlink r:id="rId7" w:history="1">
        <w:r w:rsidRPr="00136262">
          <w:rPr>
            <w:rStyle w:val="Hyperlink"/>
            <w:rFonts w:cs="Verdana"/>
            <w:szCs w:val="20"/>
          </w:rPr>
          <w:t>Oficiālās statistikas programmas</w:t>
        </w:r>
      </w:hyperlink>
      <w:r w:rsidRPr="00CF6881">
        <w:rPr>
          <w:color w:val="0000FF"/>
        </w:rPr>
        <w:t xml:space="preserve"> </w:t>
      </w:r>
      <w:r w:rsidRPr="0066263A">
        <w:t>pielikuma 1. punktā (Nacionālo kontu sistēma)</w:t>
      </w:r>
      <w:r w:rsidR="00A82BFA" w:rsidRPr="0066263A">
        <w:t xml:space="preserve">, </w:t>
      </w:r>
      <w:r w:rsidR="00A82BFA" w:rsidRPr="00A46D52">
        <w:rPr>
          <w:szCs w:val="20"/>
        </w:rPr>
        <w:t>8. punktā (Veselības aprūpes statistika)</w:t>
      </w:r>
      <w:r w:rsidR="00A82BFA">
        <w:rPr>
          <w:szCs w:val="20"/>
        </w:rPr>
        <w:t xml:space="preserve">, </w:t>
      </w:r>
      <w:r w:rsidR="00A82BFA" w:rsidRPr="00A46D52">
        <w:rPr>
          <w:szCs w:val="20"/>
        </w:rPr>
        <w:t>13. punktā (Galvenie uzņēmējdarbības gada rādītāji)</w:t>
      </w:r>
      <w:r w:rsidR="00A82BFA">
        <w:rPr>
          <w:szCs w:val="20"/>
        </w:rPr>
        <w:t xml:space="preserve"> un </w:t>
      </w:r>
      <w:r w:rsidR="00A82BFA" w:rsidRPr="00A46D52">
        <w:rPr>
          <w:szCs w:val="20"/>
        </w:rPr>
        <w:t>22. punktā (Investīciju statistika)</w:t>
      </w:r>
      <w:r w:rsidR="00A82BFA">
        <w:rPr>
          <w:szCs w:val="20"/>
        </w:rPr>
        <w:t>.</w:t>
      </w:r>
    </w:p>
    <w:p w14:paraId="2B2402BF" w14:textId="1DF1C4AC" w:rsidR="00A82BFA" w:rsidRPr="00A82BFA" w:rsidRDefault="00A82BFA" w:rsidP="00A82BFA">
      <w:pPr>
        <w:rPr>
          <w:szCs w:val="20"/>
        </w:rPr>
      </w:pPr>
      <w:r>
        <w:rPr>
          <w:bCs/>
          <w:color w:val="000000"/>
          <w:szCs w:val="20"/>
        </w:rPr>
        <w:t xml:space="preserve">Jūsu uzņēmuma dati </w:t>
      </w:r>
      <w:r>
        <w:rPr>
          <w:szCs w:val="20"/>
        </w:rPr>
        <w:t xml:space="preserve">tiek izmantoti bruto kapitālieguldījumu apjoma un dinamikas, kā arī investīciju piesaistes procesu analīzei. </w:t>
      </w:r>
      <w:r>
        <w:t xml:space="preserve">Ieguldījumu </w:t>
      </w:r>
      <w:r>
        <w:rPr>
          <w:bCs/>
          <w:szCs w:val="20"/>
        </w:rPr>
        <w:t>rādītāji</w:t>
      </w:r>
      <w:r>
        <w:rPr>
          <w:szCs w:val="20"/>
        </w:rPr>
        <w:t xml:space="preserve"> </w:t>
      </w:r>
      <w:r>
        <w:rPr>
          <w:bCs/>
          <w:color w:val="000000"/>
          <w:szCs w:val="20"/>
        </w:rPr>
        <w:t xml:space="preserve">sniedz pārskatu </w:t>
      </w:r>
      <w:r>
        <w:t>par ilgtermiņa ieguldījumu veidiem, to izmaiņām, par iekārtu un mašīnu iegādi sadalījumā pa veidiem.</w:t>
      </w:r>
    </w:p>
    <w:p w14:paraId="72A32E49" w14:textId="1F8A3480" w:rsidR="00381049" w:rsidRPr="00A82BFA" w:rsidRDefault="00A82BFA" w:rsidP="00A82BFA">
      <w:pPr>
        <w:rPr>
          <w:bCs/>
        </w:rPr>
      </w:pPr>
      <w:r w:rsidRPr="00A82BFA">
        <w:rPr>
          <w:szCs w:val="20"/>
        </w:rPr>
        <w:t>Kopsavilkuma datus savu funkciju veikšanai izmanto Latvijas valsts un pašvaldību institūcijas, Latvijas Banka, Eiropas Savienības institūcijas, starptautiskās organizācijas un citi datu lietotāji valsts ekonomikā notiekošo procesu analīzei, teritoriālās attīstības plānošanai un sasniegto rezultātu kontrolei.</w:t>
      </w:r>
    </w:p>
    <w:p w14:paraId="41185709" w14:textId="56890C52" w:rsidR="00FB66EA" w:rsidRPr="00C13E38" w:rsidRDefault="008C258D" w:rsidP="004652B7">
      <w:pPr>
        <w:pStyle w:val="Heading1"/>
        <w:numPr>
          <w:ilvl w:val="0"/>
          <w:numId w:val="26"/>
        </w:numPr>
      </w:pPr>
      <w:bookmarkStart w:id="3"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bookmarkStart w:id="4" w:name="_Hlk81302216"/>
    <w:p w14:paraId="58E0EA3E" w14:textId="0C9C209A" w:rsidR="00E23E21" w:rsidRDefault="00BB014C" w:rsidP="00E23E21">
      <w:pPr>
        <w:pStyle w:val="NoSpacing"/>
        <w:numPr>
          <w:ilvl w:val="0"/>
          <w:numId w:val="46"/>
        </w:numPr>
        <w:ind w:left="1843" w:hanging="283"/>
        <w:rPr>
          <w:color w:val="000000"/>
        </w:rPr>
      </w:pPr>
      <w:r>
        <w:rPr>
          <w:color w:val="000000"/>
        </w:rPr>
        <w:fldChar w:fldCharType="begin"/>
      </w:r>
      <w:r>
        <w:rPr>
          <w:color w:val="000000"/>
        </w:rPr>
        <w:instrText xml:space="preserve"> HYPERLINK "https://eur-lex.europa.eu/legal-content/LV/ALL/?uri=CELEX%3A32019R2152" </w:instrText>
      </w:r>
      <w:r>
        <w:rPr>
          <w:color w:val="000000"/>
        </w:rPr>
      </w:r>
      <w:r>
        <w:rPr>
          <w:color w:val="000000"/>
        </w:rPr>
        <w:fldChar w:fldCharType="separate"/>
      </w:r>
      <w:r w:rsidR="00E23E21" w:rsidRPr="00BB014C">
        <w:rPr>
          <w:rStyle w:val="Hyperlink"/>
        </w:rPr>
        <w:t>Eiropas Parlamenta un Padomes 2019. gada 27. novembra Regulu (ES) Nr. 2019/2152</w:t>
      </w:r>
      <w:r>
        <w:rPr>
          <w:color w:val="000000"/>
        </w:rPr>
        <w:fldChar w:fldCharType="end"/>
      </w:r>
      <w:r w:rsidR="00E23E21">
        <w:rPr>
          <w:color w:val="000000"/>
        </w:rPr>
        <w:t xml:space="preserve"> par Eiropas uzņēmējdarbības statistiku, ar ko atceļ 10 tiesību aktus uzņēmējdarbības statistikas jomā;</w:t>
      </w:r>
    </w:p>
    <w:bookmarkStart w:id="5" w:name="_Hlk71357224"/>
    <w:bookmarkStart w:id="6" w:name="_Hlk71356916"/>
    <w:bookmarkEnd w:id="4"/>
    <w:p w14:paraId="276BD1E0" w14:textId="2C426C32" w:rsidR="00156802" w:rsidRDefault="00A82BFA" w:rsidP="00A82BFA">
      <w:pPr>
        <w:pStyle w:val="NoSpacing"/>
      </w:pPr>
      <w:r>
        <w:rPr>
          <w:lang w:eastAsia="lv-LV"/>
        </w:rPr>
        <w:fldChar w:fldCharType="begin"/>
      </w:r>
      <w:r>
        <w:rPr>
          <w:lang w:eastAsia="lv-LV"/>
        </w:rPr>
        <w:instrText xml:space="preserve"> HYPERLINK "https://eur-lex.europa.eu/legal-content/LV/TXT/?uri=CELEX%3A32013R0549&amp;qid=1620993605941" </w:instrText>
      </w:r>
      <w:r>
        <w:rPr>
          <w:lang w:eastAsia="lv-LV"/>
        </w:rPr>
      </w:r>
      <w:r>
        <w:rPr>
          <w:lang w:eastAsia="lv-LV"/>
        </w:rPr>
        <w:fldChar w:fldCharType="separate"/>
      </w:r>
      <w:r w:rsidRPr="00A82BFA">
        <w:rPr>
          <w:rStyle w:val="Hyperlink"/>
          <w:lang w:eastAsia="lv-LV"/>
        </w:rPr>
        <w:t>Eiropas Parlamenta un Padomes 2013. gada 21. maija Regul</w:t>
      </w:r>
      <w:r w:rsidR="00755F5A">
        <w:rPr>
          <w:rStyle w:val="Hyperlink"/>
          <w:lang w:eastAsia="lv-LV"/>
        </w:rPr>
        <w:t>u</w:t>
      </w:r>
      <w:r w:rsidRPr="00A82BFA">
        <w:rPr>
          <w:rStyle w:val="Hyperlink"/>
          <w:lang w:eastAsia="lv-LV"/>
        </w:rPr>
        <w:t xml:space="preserve"> (ES) Nr. 549/2013</w:t>
      </w:r>
      <w:r>
        <w:rPr>
          <w:lang w:eastAsia="lv-LV"/>
        </w:rPr>
        <w:fldChar w:fldCharType="end"/>
      </w:r>
      <w:r>
        <w:rPr>
          <w:lang w:eastAsia="lv-LV"/>
        </w:rPr>
        <w:t xml:space="preserve"> par Eiropas nacionālo un reģionālo kontu sistēmu Eiropas Savienībā (Dokuments attiecas uz EEZ)</w:t>
      </w:r>
      <w:bookmarkEnd w:id="5"/>
      <w:r>
        <w:rPr>
          <w:lang w:eastAsia="lv-LV"/>
        </w:rPr>
        <w:t>.</w:t>
      </w:r>
      <w:bookmarkEnd w:id="6"/>
    </w:p>
    <w:p w14:paraId="0EA759E9" w14:textId="43AFA218" w:rsidR="00E47D56" w:rsidRPr="00F37885" w:rsidRDefault="008C258D" w:rsidP="00A513C7">
      <w:pPr>
        <w:pStyle w:val="Heading1"/>
        <w:numPr>
          <w:ilvl w:val="0"/>
          <w:numId w:val="29"/>
        </w:numPr>
      </w:pPr>
      <w:bookmarkStart w:id="7" w:name="_Toc70071549"/>
      <w:r>
        <w:t>Kur ir noteikts p</w:t>
      </w:r>
      <w:r w:rsidR="00E47D56" w:rsidRPr="00F37885">
        <w:t>ienākums iesniegt datus</w:t>
      </w:r>
      <w:r>
        <w:t>?</w:t>
      </w:r>
      <w:bookmarkEnd w:id="7"/>
    </w:p>
    <w:p w14:paraId="2FE3EA63" w14:textId="0496D9F0" w:rsidR="00DC7EFA" w:rsidRPr="00C13E38" w:rsidRDefault="00E47D56" w:rsidP="00A513C7">
      <w:r w:rsidRPr="00C13E38">
        <w:t>Pienākums iesniegt datus izriet no</w:t>
      </w:r>
      <w:r w:rsidR="008629E4" w:rsidRPr="00C13E38">
        <w:t xml:space="preserve"> </w:t>
      </w:r>
      <w:hyperlink r:id="rId8"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8"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8"/>
    </w:p>
    <w:p w14:paraId="27E0A456" w14:textId="77777777" w:rsidR="00A82BFA" w:rsidRDefault="00A82BFA" w:rsidP="00A82BFA">
      <w:pPr>
        <w:rPr>
          <w:iCs/>
        </w:rPr>
      </w:pPr>
      <w:r>
        <w:t xml:space="preserve">Administratīvie dati tiek iegūti no Valsts ieņēmumu dienestā (VID) iesniegtajiem uzņēmumu gada pārskatiem un uzņēmumu konsolidētiem gada pārskatiem par: </w:t>
      </w:r>
    </w:p>
    <w:p w14:paraId="700D4730" w14:textId="77777777" w:rsidR="00A82BFA" w:rsidRDefault="00A82BFA" w:rsidP="00A82BFA">
      <w:pPr>
        <w:pStyle w:val="NoSpacing"/>
        <w:rPr>
          <w:iCs/>
        </w:rPr>
      </w:pPr>
      <w:r>
        <w:t>nemateriālo ieguldījumu, ieskaitot sadalījumu pa bilances posteņiem, vērtību pārskata gada sākumā un beigās;</w:t>
      </w:r>
    </w:p>
    <w:p w14:paraId="4870F55F" w14:textId="77777777" w:rsidR="00A82BFA" w:rsidRPr="00A82BFA" w:rsidRDefault="00A82BFA" w:rsidP="00A82BFA">
      <w:pPr>
        <w:pStyle w:val="NoSpacing"/>
        <w:rPr>
          <w:iCs/>
        </w:rPr>
      </w:pPr>
      <w:r>
        <w:t>pamatlīdzekļu, ieskaitot sadalījumu pa bilances posteņiem, vērtību pārskata gada sākumā un beigā</w:t>
      </w:r>
      <w:r w:rsidRPr="00A82BFA">
        <w:t>s;</w:t>
      </w:r>
    </w:p>
    <w:p w14:paraId="30821DF2" w14:textId="77777777" w:rsidR="00A82BFA" w:rsidRDefault="00A82BFA" w:rsidP="00A82BFA">
      <w:pPr>
        <w:pStyle w:val="NoSpacing"/>
        <w:rPr>
          <w:iCs/>
        </w:rPr>
      </w:pPr>
      <w:r>
        <w:t xml:space="preserve">pārskata vai atsevišķu posteņu sagatavošanu atbilstoši starptautiskajiem grāmatvedības standartiem. </w:t>
      </w:r>
    </w:p>
    <w:p w14:paraId="584FBD34" w14:textId="0AC39DFD" w:rsidR="00381049" w:rsidRDefault="00A82BFA" w:rsidP="00A82BFA">
      <w:pPr>
        <w:pStyle w:val="NoSpacing"/>
        <w:numPr>
          <w:ilvl w:val="0"/>
          <w:numId w:val="0"/>
        </w:numPr>
        <w:ind w:left="1134"/>
      </w:pPr>
      <w:bookmarkStart w:id="9" w:name="_Hlk40878085"/>
      <w:r>
        <w:t xml:space="preserve">Statistisko rādītāju aprēķiniem izmantot vienīgi administratīvos datus </w:t>
      </w:r>
      <w:bookmarkEnd w:id="9"/>
      <w:r>
        <w:t>nav iespējams, jo tam nepieciešams detalizētāks ieguldījumu veidu sadalījums gan pēc fiziskā sastāva, gan nemateriālo ieguldījumu un pamatlīdzekļu iegūšanas veida.</w:t>
      </w:r>
    </w:p>
    <w:p w14:paraId="1F5F0C07" w14:textId="211764FC" w:rsidR="004E42BB" w:rsidRPr="00C13E38" w:rsidRDefault="00D44A6F" w:rsidP="004652B7">
      <w:pPr>
        <w:pStyle w:val="Heading1"/>
        <w:numPr>
          <w:ilvl w:val="0"/>
          <w:numId w:val="24"/>
        </w:numPr>
      </w:pPr>
      <w:bookmarkStart w:id="10" w:name="_Toc70071551"/>
      <w:r>
        <w:t>Kam ir jāiesniedz dati?</w:t>
      </w:r>
      <w:bookmarkEnd w:id="10"/>
    </w:p>
    <w:p w14:paraId="273BAC46" w14:textId="5F5F107C" w:rsidR="00A82BFA" w:rsidRDefault="00A82BFA" w:rsidP="00A82BFA">
      <w:r>
        <w:t>Apsekojumā iekļauj</w:t>
      </w:r>
      <w:r w:rsidR="002A0F00">
        <w:t xml:space="preserve"> visus ekonomiski aktīvos uzņēmumus, kas nodarbojas ar monetāro starpniecību; apdrošināšanu, pārapdrošināšanu un pensiju uzkrāšanu, izņemot obligāto sociālo apdrošināšanu; fondu pārvaldīšanu</w:t>
      </w:r>
      <w:r w:rsidR="00CE2CB9">
        <w:t>; ieguldījumu brokeru sabiedrības</w:t>
      </w:r>
      <w:r w:rsidR="00897056">
        <w:t>, kā arī valsts struktūru vai pašvaldību struktūru kontrolētas un finansētas komercsabiedrības.</w:t>
      </w:r>
    </w:p>
    <w:p w14:paraId="0B557BB7" w14:textId="77777777" w:rsidR="00193834" w:rsidRDefault="00F33D0A" w:rsidP="004652B7">
      <w:r w:rsidRPr="009E389F">
        <w:t xml:space="preserve">Izlases izveidošanas </w:t>
      </w:r>
      <w:r>
        <w:t>standarts</w:t>
      </w:r>
      <w:r w:rsidRPr="009E389F">
        <w:t>:</w:t>
      </w:r>
    </w:p>
    <w:p w14:paraId="60F4269A" w14:textId="27184FFB" w:rsidR="00F33D0A" w:rsidRDefault="00136262" w:rsidP="00193834">
      <w:pPr>
        <w:pStyle w:val="NoSpacing"/>
        <w:rPr>
          <w:rFonts w:eastAsia="Times New Roman"/>
        </w:rPr>
      </w:pPr>
      <w:hyperlink r:id="rId9" w:history="1">
        <w:r w:rsidR="0066263A" w:rsidRPr="00193834">
          <w:rPr>
            <w:rStyle w:val="Hyperlink"/>
          </w:rPr>
          <w:t>Eiropas Parlamenta un Padomes 2013. gada 21. maija Regulas (ES) Nr.</w:t>
        </w:r>
        <w:r w:rsidR="00193834">
          <w:rPr>
            <w:rStyle w:val="Hyperlink"/>
          </w:rPr>
          <w:t> </w:t>
        </w:r>
        <w:r w:rsidR="0066263A" w:rsidRPr="00193834">
          <w:rPr>
            <w:rStyle w:val="Hyperlink"/>
          </w:rPr>
          <w:t>549/2013</w:t>
        </w:r>
      </w:hyperlink>
      <w:r w:rsidR="0066263A" w:rsidRPr="005261B5">
        <w:t xml:space="preserve"> par </w:t>
      </w:r>
      <w:r w:rsidR="0066263A" w:rsidRPr="005261B5">
        <w:rPr>
          <w:rFonts w:eastAsia="Times New Roman"/>
        </w:rPr>
        <w:t xml:space="preserve">Eiropas nacionālo un reģionālo kontu sistēmu Eiropas Savienībā </w:t>
      </w:r>
      <w:r w:rsidR="00022754">
        <w:rPr>
          <w:rFonts w:eastAsia="Times New Roman"/>
        </w:rPr>
        <w:t>2</w:t>
      </w:r>
      <w:r w:rsidR="0066263A">
        <w:rPr>
          <w:rFonts w:eastAsia="Times New Roman"/>
        </w:rPr>
        <w:t xml:space="preserve">. pants, kā arī </w:t>
      </w:r>
      <w:r w:rsidR="006D684E" w:rsidRPr="005261B5">
        <w:rPr>
          <w:rFonts w:eastAsia="Times New Roman"/>
        </w:rPr>
        <w:t xml:space="preserve">A </w:t>
      </w:r>
      <w:r w:rsidR="006D684E">
        <w:rPr>
          <w:rFonts w:eastAsia="Times New Roman"/>
        </w:rPr>
        <w:t xml:space="preserve">un B </w:t>
      </w:r>
      <w:r w:rsidR="006D684E" w:rsidRPr="005261B5">
        <w:rPr>
          <w:rFonts w:eastAsia="Times New Roman"/>
        </w:rPr>
        <w:t>pielikum</w:t>
      </w:r>
      <w:r w:rsidR="006D684E">
        <w:rPr>
          <w:rFonts w:eastAsia="Times New Roman"/>
        </w:rPr>
        <w:t>i</w:t>
      </w:r>
      <w:r w:rsidR="00193834">
        <w:rPr>
          <w:rFonts w:eastAsia="Times New Roman"/>
        </w:rPr>
        <w:t>;</w:t>
      </w:r>
    </w:p>
    <w:p w14:paraId="30B044E9" w14:textId="7FB9571C" w:rsidR="00E23E21" w:rsidRDefault="00136262" w:rsidP="00E23E21">
      <w:pPr>
        <w:pStyle w:val="NoSpacing"/>
      </w:pPr>
      <w:hyperlink r:id="rId10" w:history="1">
        <w:r w:rsidR="00E23E21" w:rsidRPr="00BB014C">
          <w:rPr>
            <w:rStyle w:val="Hyperlink"/>
          </w:rPr>
          <w:t>Eiropas Parlamenta un Padomes 2019. gada 27. novembra Regul</w:t>
        </w:r>
        <w:r w:rsidR="00BB014C" w:rsidRPr="00BB014C">
          <w:rPr>
            <w:rStyle w:val="Hyperlink"/>
          </w:rPr>
          <w:t>as</w:t>
        </w:r>
        <w:r w:rsidR="00E23E21" w:rsidRPr="00BB014C">
          <w:rPr>
            <w:rStyle w:val="Hyperlink"/>
          </w:rPr>
          <w:t xml:space="preserve"> (ES) Nr. 2019/2152</w:t>
        </w:r>
      </w:hyperlink>
      <w:r w:rsidR="00E23E21">
        <w:t xml:space="preserve"> par Eiropas uzņēmējdarbības statistiku, ar ko atceļ 10 tiesību aktus uzņēmējdarbības statistikas jomā 6. pants, I un II pielikuma 2. joma</w:t>
      </w:r>
      <w:r w:rsidR="00757C07">
        <w:t>, kā arī 7. pants</w:t>
      </w:r>
      <w:r w:rsidR="00E23E21">
        <w:t>;</w:t>
      </w:r>
    </w:p>
    <w:p w14:paraId="075FD595" w14:textId="6392D1EF" w:rsidR="00E23E21" w:rsidRDefault="00136262" w:rsidP="00E23E21">
      <w:pPr>
        <w:pStyle w:val="NoSpacing"/>
        <w:rPr>
          <w:rFonts w:eastAsia="Times New Roman"/>
        </w:rPr>
      </w:pPr>
      <w:hyperlink r:id="rId11" w:history="1">
        <w:r w:rsidR="00E23E21" w:rsidRPr="00BB014C">
          <w:rPr>
            <w:rStyle w:val="Hyperlink"/>
          </w:rPr>
          <w:t xml:space="preserve">Komisijas </w:t>
        </w:r>
        <w:r w:rsidR="00BB014C" w:rsidRPr="00BB014C">
          <w:rPr>
            <w:rStyle w:val="Hyperlink"/>
          </w:rPr>
          <w:t xml:space="preserve">2020. gada 30. jūlija </w:t>
        </w:r>
        <w:r w:rsidR="00E23E21" w:rsidRPr="00BB014C">
          <w:rPr>
            <w:rStyle w:val="Hyperlink"/>
          </w:rPr>
          <w:t>Īstenošanas Regul</w:t>
        </w:r>
        <w:r w:rsidR="00BB014C" w:rsidRPr="00BB014C">
          <w:rPr>
            <w:rStyle w:val="Hyperlink"/>
          </w:rPr>
          <w:t>as</w:t>
        </w:r>
        <w:r w:rsidR="00E23E21" w:rsidRPr="00BB014C">
          <w:rPr>
            <w:rStyle w:val="Hyperlink"/>
          </w:rPr>
          <w:t xml:space="preserve"> (ES) 2020/1197</w:t>
        </w:r>
      </w:hyperlink>
      <w:r w:rsidR="00E23E21">
        <w:t>, ar kuru nosaka tehniskās specifikācijas un kārtību saskaņā ar Eiropas Parlamenta un Padomes Regulu (ES) 2019/2152 par Eiropas uzņēmējdarbības statistiku, ar ko atceļ 10 tiesību aktus uzņēmējdarbības statistikas jomā 1. pants, I pielikuma A un B daļa</w:t>
      </w:r>
      <w:r w:rsidR="00BB014C">
        <w:t>;</w:t>
      </w:r>
    </w:p>
    <w:bookmarkStart w:id="11" w:name="_Hlk74160520"/>
    <w:p w14:paraId="04F0EFE1" w14:textId="77777777" w:rsidR="00193834" w:rsidRDefault="00193834" w:rsidP="00193834">
      <w:pPr>
        <w:pStyle w:val="NoSpacing"/>
      </w:pPr>
      <w:r>
        <w:fldChar w:fldCharType="begin"/>
      </w:r>
      <w:r>
        <w:instrText xml:space="preserve"> HYPERLINK "https://likumi.lv/ta/id/287576-oficialas-statistikas-veidlapu-paraugu-apstiprinasanas-un-veidlapu-aizpildisanas-un-iesniegsanas-noteikumi" </w:instrText>
      </w:r>
      <w:r>
        <w:fldChar w:fldCharType="separate"/>
      </w:r>
      <w:r w:rsidRPr="00A611D9">
        <w:rPr>
          <w:rStyle w:val="Hyperlink"/>
        </w:rPr>
        <w:t>Ministru kabineta 2016. gada 20. decembra noteikumi Nr. 812</w:t>
      </w:r>
      <w:r>
        <w:rPr>
          <w:rStyle w:val="Hyperlink"/>
        </w:rPr>
        <w:fldChar w:fldCharType="end"/>
      </w:r>
      <w:r w:rsidRPr="00A611D9">
        <w:t xml:space="preserve"> ”Oficiālās statistikas veidlapu paraugu apstiprināšanas un veidlapu aizpildīšanas un iesniegšanas noteikumi”.</w:t>
      </w:r>
      <w:bookmarkEnd w:id="11"/>
    </w:p>
    <w:p w14:paraId="74D77E06" w14:textId="2F3F2C6E" w:rsidR="009B665C" w:rsidRPr="00C13E38" w:rsidRDefault="00D44A6F" w:rsidP="004652B7">
      <w:pPr>
        <w:pStyle w:val="Heading1"/>
        <w:numPr>
          <w:ilvl w:val="0"/>
          <w:numId w:val="21"/>
        </w:numPr>
      </w:pPr>
      <w:bookmarkStart w:id="12" w:name="_Toc70071552"/>
      <w:r>
        <w:t>Kur publicē o</w:t>
      </w:r>
      <w:r w:rsidR="004E42BB" w:rsidRPr="00C13E38">
        <w:t>ficiāl</w:t>
      </w:r>
      <w:r>
        <w:t>o</w:t>
      </w:r>
      <w:r w:rsidR="004E42BB" w:rsidRPr="00C13E38">
        <w:t xml:space="preserve"> statisti</w:t>
      </w:r>
      <w:r>
        <w:t>ku?</w:t>
      </w:r>
      <w:bookmarkEnd w:id="12"/>
    </w:p>
    <w:p w14:paraId="722977AB" w14:textId="77777777" w:rsidR="00A82BFA" w:rsidRPr="00A82BFA" w:rsidRDefault="00A82BFA" w:rsidP="00A82BFA">
      <w:pPr>
        <w:pStyle w:val="NoSpacing"/>
      </w:pPr>
      <w:bookmarkStart w:id="13" w:name="_Hlk56689614"/>
      <w:bookmarkStart w:id="14" w:name="_Toc40698654"/>
      <w:r w:rsidRPr="00A82BFA">
        <w:t>Oficiālās statistikas portālā:</w:t>
      </w:r>
    </w:p>
    <w:bookmarkEnd w:id="13"/>
    <w:p w14:paraId="3BE0D747" w14:textId="77777777" w:rsidR="00A82BFA" w:rsidRDefault="00A82BFA" w:rsidP="00A82BFA">
      <w:pPr>
        <w:pStyle w:val="NoSpacing"/>
        <w:numPr>
          <w:ilvl w:val="1"/>
          <w:numId w:val="44"/>
        </w:numPr>
        <w:rPr>
          <w:rStyle w:val="Hyperlink"/>
        </w:rPr>
      </w:pPr>
      <w:r>
        <w:rPr>
          <w:u w:val="single"/>
        </w:rPr>
        <w:fldChar w:fldCharType="begin"/>
      </w:r>
      <w:r>
        <w:rPr>
          <w:u w:val="single"/>
        </w:rPr>
        <w:instrText xml:space="preserve"> HYPERLINK "https://data.stat.gov.lv/pxweb/lv/OSP_PUB/START__VEK__IK__IKP/IKP030/table/tableViewLayout1/" </w:instrText>
      </w:r>
      <w:r>
        <w:rPr>
          <w:u w:val="single"/>
        </w:rPr>
      </w:r>
      <w:r>
        <w:rPr>
          <w:u w:val="single"/>
        </w:rPr>
        <w:fldChar w:fldCharType="separate"/>
      </w:r>
      <w:r>
        <w:rPr>
          <w:rStyle w:val="Hyperlink"/>
        </w:rPr>
        <w:t>Iekšzemes kopprodukts no izlietojuma aspekta</w:t>
      </w:r>
      <w:r>
        <w:rPr>
          <w:u w:val="single"/>
        </w:rPr>
        <w:fldChar w:fldCharType="end"/>
      </w:r>
    </w:p>
    <w:p w14:paraId="3BAF97E2" w14:textId="176E6F95" w:rsidR="00A82BFA" w:rsidRPr="008C281B" w:rsidRDefault="00136262" w:rsidP="00A82BFA">
      <w:pPr>
        <w:pStyle w:val="NoSpacing"/>
        <w:numPr>
          <w:ilvl w:val="1"/>
          <w:numId w:val="44"/>
        </w:numPr>
        <w:rPr>
          <w:rStyle w:val="Hyperlink"/>
          <w:color w:val="auto"/>
          <w:szCs w:val="20"/>
          <w:shd w:val="clear" w:color="auto" w:fill="FFFFFF"/>
        </w:rPr>
      </w:pPr>
      <w:hyperlink r:id="rId12" w:history="1">
        <w:r w:rsidR="00A82BFA">
          <w:rPr>
            <w:rStyle w:val="Hyperlink"/>
            <w:szCs w:val="20"/>
            <w:shd w:val="clear" w:color="auto" w:fill="FFFFFF"/>
          </w:rPr>
          <w:t>Uzņēmumu galvenie uzņēmējdarbības rādītāji</w:t>
        </w:r>
      </w:hyperlink>
    </w:p>
    <w:p w14:paraId="17EFDE77" w14:textId="0C7DB9C8" w:rsidR="008C281B" w:rsidRDefault="00136262" w:rsidP="00A82BFA">
      <w:pPr>
        <w:pStyle w:val="NoSpacing"/>
        <w:numPr>
          <w:ilvl w:val="1"/>
          <w:numId w:val="44"/>
        </w:numPr>
        <w:rPr>
          <w:szCs w:val="20"/>
          <w:shd w:val="clear" w:color="auto" w:fill="FFFFFF"/>
        </w:rPr>
      </w:pPr>
      <w:hyperlink r:id="rId13" w:history="1">
        <w:r w:rsidR="00F54D21" w:rsidRPr="00F54D21">
          <w:rPr>
            <w:rStyle w:val="Hyperlink"/>
            <w:szCs w:val="20"/>
            <w:shd w:val="clear" w:color="auto" w:fill="FFFFFF"/>
          </w:rPr>
          <w:t>Bruto kapit</w:t>
        </w:r>
        <w:r w:rsidR="00F54D21">
          <w:rPr>
            <w:rStyle w:val="Hyperlink"/>
            <w:szCs w:val="20"/>
            <w:shd w:val="clear" w:color="auto" w:fill="FFFFFF"/>
          </w:rPr>
          <w:t>ālieguldījumi pa darbības veidiem</w:t>
        </w:r>
      </w:hyperlink>
    </w:p>
    <w:p w14:paraId="438F1029" w14:textId="3DD01104" w:rsidR="00381049" w:rsidRPr="00F914B8" w:rsidRDefault="00A82BFA" w:rsidP="00A82BFA">
      <w:pPr>
        <w:pStyle w:val="NoSpacing"/>
        <w:rPr>
          <w:rStyle w:val="Hyperlink"/>
          <w:rFonts w:cs="Times New Roman"/>
          <w:color w:val="auto"/>
          <w:szCs w:val="20"/>
        </w:rPr>
      </w:pPr>
      <w:r>
        <w:rPr>
          <w:rFonts w:cs="Verdana"/>
          <w:color w:val="000000"/>
          <w:szCs w:val="20"/>
        </w:rPr>
        <w:t>Eiropas Savienības Statistikas biroja (Eurostat)</w:t>
      </w:r>
      <w:r>
        <w:t xml:space="preserve"> </w:t>
      </w:r>
      <w:hyperlink r:id="rId14" w:history="1">
        <w:r>
          <w:rPr>
            <w:rStyle w:val="Hyperlink"/>
          </w:rPr>
          <w:t>datubāzēs</w:t>
        </w:r>
      </w:hyperlink>
    </w:p>
    <w:p w14:paraId="46C4D164" w14:textId="1A9BB05C" w:rsidR="005472C0" w:rsidRPr="00C13E38" w:rsidRDefault="004D4ABE" w:rsidP="004652B7">
      <w:pPr>
        <w:pStyle w:val="Heading1"/>
        <w:numPr>
          <w:ilvl w:val="0"/>
          <w:numId w:val="22"/>
        </w:numPr>
      </w:pPr>
      <w:bookmarkStart w:id="15"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4"/>
      <w:r>
        <w:t>?</w:t>
      </w:r>
      <w:bookmarkEnd w:id="15"/>
    </w:p>
    <w:p w14:paraId="28B80EB5" w14:textId="77777777" w:rsidR="00A82BFA" w:rsidRDefault="00136262" w:rsidP="00A82BFA">
      <w:pPr>
        <w:pStyle w:val="NoSpacing"/>
        <w:rPr>
          <w:rFonts w:cs="Times New Roman"/>
          <w:color w:val="0070C0"/>
          <w:szCs w:val="20"/>
          <w:u w:val="single"/>
        </w:rPr>
      </w:pPr>
      <w:hyperlink r:id="rId15" w:history="1">
        <w:r w:rsidR="00A82BFA">
          <w:rPr>
            <w:rStyle w:val="Hyperlink"/>
            <w:szCs w:val="20"/>
          </w:rPr>
          <w:t>Ekonomikas ministrija</w:t>
        </w:r>
      </w:hyperlink>
    </w:p>
    <w:p w14:paraId="38190E65" w14:textId="77777777" w:rsidR="00A82BFA" w:rsidRDefault="00136262" w:rsidP="00A82BFA">
      <w:pPr>
        <w:pStyle w:val="NoSpacing"/>
        <w:rPr>
          <w:rFonts w:cs="Times New Roman"/>
          <w:color w:val="0070C0"/>
          <w:szCs w:val="20"/>
          <w:u w:val="single"/>
        </w:rPr>
      </w:pPr>
      <w:hyperlink r:id="rId16" w:history="1">
        <w:r w:rsidR="00A82BFA">
          <w:rPr>
            <w:rStyle w:val="Hyperlink"/>
          </w:rPr>
          <w:t>Latvijas Banka</w:t>
        </w:r>
      </w:hyperlink>
    </w:p>
    <w:p w14:paraId="344A0DF6" w14:textId="6345B786" w:rsidR="00A82BFA" w:rsidRDefault="00A82BFA" w:rsidP="00A82BFA">
      <w:pPr>
        <w:pStyle w:val="NoSpacing"/>
        <w:rPr>
          <w:rFonts w:cs="Times New Roman"/>
          <w:color w:val="000000" w:themeColor="text1"/>
          <w:szCs w:val="20"/>
          <w:u w:val="single"/>
        </w:rPr>
      </w:pPr>
      <w:r>
        <w:t>Ekonomiskās sadarbības un attīstības organizācija (</w:t>
      </w:r>
      <w:hyperlink r:id="rId17" w:history="1">
        <w:r>
          <w:rPr>
            <w:rStyle w:val="Hyperlink"/>
            <w:szCs w:val="20"/>
          </w:rPr>
          <w:t>OECD</w:t>
        </w:r>
      </w:hyperlink>
      <w:r>
        <w:t>)</w:t>
      </w:r>
    </w:p>
    <w:p w14:paraId="180664F8" w14:textId="77777777" w:rsidR="00A82BFA" w:rsidRDefault="00A82BFA" w:rsidP="00A82BFA">
      <w:pPr>
        <w:pStyle w:val="NoSpacing"/>
        <w:rPr>
          <w:rFonts w:cs="Times New Roman"/>
          <w:color w:val="000000" w:themeColor="text1"/>
          <w:szCs w:val="20"/>
          <w:u w:val="single"/>
        </w:rPr>
      </w:pPr>
      <w:r>
        <w:t xml:space="preserve">Eiropas Centrālā banka </w:t>
      </w:r>
      <w:r>
        <w:rPr>
          <w:szCs w:val="20"/>
        </w:rPr>
        <w:t>(</w:t>
      </w:r>
      <w:hyperlink r:id="rId18" w:history="1">
        <w:r>
          <w:rPr>
            <w:rStyle w:val="Hyperlink"/>
            <w:szCs w:val="20"/>
          </w:rPr>
          <w:t>ECB</w:t>
        </w:r>
      </w:hyperlink>
      <w:r>
        <w:rPr>
          <w:szCs w:val="20"/>
        </w:rPr>
        <w:t>)</w:t>
      </w:r>
    </w:p>
    <w:p w14:paraId="3CB4F6A1" w14:textId="3AF4FAC9" w:rsidR="00381049" w:rsidRPr="00A82BFA" w:rsidRDefault="00A82BFA" w:rsidP="00A82BFA">
      <w:pPr>
        <w:pStyle w:val="NoSpacing"/>
        <w:rPr>
          <w:rFonts w:cs="Times New Roman"/>
          <w:color w:val="000000" w:themeColor="text1"/>
          <w:szCs w:val="20"/>
          <w:u w:val="single"/>
        </w:rPr>
      </w:pPr>
      <w:r>
        <w:rPr>
          <w:szCs w:val="20"/>
        </w:rPr>
        <w:t>Starptautiskais Valūtas fonds (</w:t>
      </w:r>
      <w:hyperlink r:id="rId19" w:history="1">
        <w:r>
          <w:rPr>
            <w:rStyle w:val="Hyperlink"/>
            <w:szCs w:val="20"/>
          </w:rPr>
          <w:t>IMF</w:t>
        </w:r>
      </w:hyperlink>
      <w:r>
        <w:rPr>
          <w:szCs w:val="20"/>
        </w:rPr>
        <w:t>)</w:t>
      </w:r>
    </w:p>
    <w:p w14:paraId="78598D9A" w14:textId="574F8115" w:rsidR="00CB2A49" w:rsidRPr="00C13E38" w:rsidRDefault="004D4ABE" w:rsidP="00A513C7">
      <w:pPr>
        <w:pStyle w:val="Heading1"/>
        <w:numPr>
          <w:ilvl w:val="0"/>
          <w:numId w:val="30"/>
        </w:numPr>
      </w:pPr>
      <w:bookmarkStart w:id="16" w:name="_Toc70071554"/>
      <w:r>
        <w:t>Vai Pārvalde ievēro d</w:t>
      </w:r>
      <w:r w:rsidR="00CB2A49" w:rsidRPr="00C13E38">
        <w:t>atu konfidencialitāt</w:t>
      </w:r>
      <w:r>
        <w:t>i?</w:t>
      </w:r>
      <w:bookmarkEnd w:id="16"/>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7" w:name="_Toc70071555"/>
      <w:r>
        <w:t xml:space="preserve">Vai Pārvalde ievēro </w:t>
      </w:r>
      <w:r w:rsidR="00CB2A49" w:rsidRPr="008A257A">
        <w:t>Vispārēj</w:t>
      </w:r>
      <w:r>
        <w:t>o</w:t>
      </w:r>
      <w:r w:rsidR="00CB2A49" w:rsidRPr="00C13E38">
        <w:t xml:space="preserve"> datu aizsardzības regul</w:t>
      </w:r>
      <w:r>
        <w:t>u?</w:t>
      </w:r>
      <w:bookmarkEnd w:id="17"/>
    </w:p>
    <w:p w14:paraId="02F83123" w14:textId="2BD9BFE9"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34DF934D"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20" w:history="1">
        <w:r w:rsidR="00953091" w:rsidRPr="00CF6881">
          <w:rPr>
            <w:rStyle w:val="Hyperlink"/>
            <w:rFonts w:cs="Times New Roman"/>
            <w:szCs w:val="20"/>
          </w:rPr>
          <w:t>Eiropas Parlamenta un Padomes 2016. gada 27. aprīļa Regulas (ES) 2016/679</w:t>
        </w:r>
      </w:hyperlink>
      <w:r w:rsidR="00953091" w:rsidRPr="00CF6881">
        <w:rPr>
          <w:rFonts w:cs="Times New Roman"/>
          <w:szCs w:val="20"/>
        </w:rPr>
        <w:t xml:space="preserve"> par fizisku personu aizsardzību attiecībā uz personas datu apstrādi un šādu datu brīvu apriti un ar ko atceļ Direktīvu 95/46/EK</w:t>
      </w:r>
      <w:r w:rsidR="00953091" w:rsidRPr="00CF6881">
        <w:rPr>
          <w:rFonts w:cs="Times New Roman"/>
          <w:sz w:val="24"/>
          <w:szCs w:val="24"/>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30323857" w:rsidR="003931BD" w:rsidRPr="00C2402B" w:rsidRDefault="00E015E5" w:rsidP="00A513C7">
      <w:pPr>
        <w:rPr>
          <w:rFonts w:cs="Times New Roman"/>
          <w:szCs w:val="20"/>
        </w:rPr>
      </w:pPr>
      <w:r w:rsidRPr="004B407B">
        <w:rPr>
          <w:rFonts w:cs="Times New Roman"/>
          <w:szCs w:val="20"/>
        </w:rPr>
        <w:lastRenderedPageBreak/>
        <w:t>Vairāk par informācijas drošību un datu aizsardzību var atrast Pārvaldes mājaslapā:</w:t>
      </w:r>
      <w:hyperlink r:id="rId21"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25" type="#_x0000_t75" style="width:1in;height:71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10885DE5"/>
    <w:multiLevelType w:val="hybridMultilevel"/>
    <w:tmpl w:val="E59EA452"/>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5" w15:restartNumberingAfterBreak="0">
    <w:nsid w:val="12A46329"/>
    <w:multiLevelType w:val="hybridMultilevel"/>
    <w:tmpl w:val="ED9E6442"/>
    <w:lvl w:ilvl="0" w:tplc="6282A534">
      <w:numFmt w:val="bullet"/>
      <w:lvlText w:val=""/>
      <w:lvlJc w:val="left"/>
      <w:pPr>
        <w:ind w:left="72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8EE0FD4"/>
    <w:multiLevelType w:val="hybridMultilevel"/>
    <w:tmpl w:val="3996B37A"/>
    <w:lvl w:ilvl="0" w:tplc="E58E2534">
      <w:numFmt w:val="bullet"/>
      <w:lvlText w:val=""/>
      <w:lvlJc w:val="left"/>
      <w:pPr>
        <w:ind w:left="1854" w:hanging="360"/>
      </w:pPr>
      <w:rPr>
        <w:rFonts w:ascii="Wingdings" w:eastAsiaTheme="minorHAnsi" w:hAnsi="Wingdings" w:cs="Times New Roman" w:hint="default"/>
        <w:color w:val="009999"/>
      </w:rPr>
    </w:lvl>
    <w:lvl w:ilvl="1" w:tplc="315E39D0">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8"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4"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6"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0" w15:restartNumberingAfterBreak="0">
    <w:nsid w:val="3DC44D47"/>
    <w:multiLevelType w:val="hybridMultilevel"/>
    <w:tmpl w:val="C6182C88"/>
    <w:lvl w:ilvl="0" w:tplc="78223B58">
      <w:numFmt w:val="bullet"/>
      <w:lvlText w:val=""/>
      <w:lvlJc w:val="left"/>
      <w:pPr>
        <w:ind w:left="1800" w:hanging="360"/>
      </w:pPr>
      <w:rPr>
        <w:rFonts w:ascii="Wingdings" w:eastAsiaTheme="minorHAnsi" w:hAnsi="Wingdings" w:cs="Times New Roman" w:hint="default"/>
        <w:color w:val="009999"/>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1" w15:restartNumberingAfterBreak="0">
    <w:nsid w:val="3F8C192E"/>
    <w:multiLevelType w:val="hybridMultilevel"/>
    <w:tmpl w:val="5BFC3156"/>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46847888"/>
    <w:multiLevelType w:val="hybridMultilevel"/>
    <w:tmpl w:val="6D22487A"/>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5"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6EF1F2B"/>
    <w:multiLevelType w:val="hybridMultilevel"/>
    <w:tmpl w:val="DBA85626"/>
    <w:lvl w:ilvl="0" w:tplc="BB76506C">
      <w:numFmt w:val="bullet"/>
      <w:lvlText w:val=""/>
      <w:lvlJc w:val="left"/>
      <w:pPr>
        <w:ind w:left="2345" w:hanging="360"/>
      </w:pPr>
      <w:rPr>
        <w:rFonts w:ascii="Wingdings" w:hAnsi="Wingdings" w:cs="Times New Roman" w:hint="default"/>
        <w:color w:val="A5A5A5" w:themeColor="accent3"/>
        <w:sz w:val="20"/>
        <w:szCs w:val="20"/>
      </w:rPr>
    </w:lvl>
    <w:lvl w:ilvl="1" w:tplc="04260003">
      <w:start w:val="1"/>
      <w:numFmt w:val="bullet"/>
      <w:lvlText w:val="o"/>
      <w:lvlJc w:val="left"/>
      <w:pPr>
        <w:ind w:left="3065" w:hanging="360"/>
      </w:pPr>
      <w:rPr>
        <w:rFonts w:ascii="Courier New" w:hAnsi="Courier New" w:cs="Courier New" w:hint="default"/>
      </w:rPr>
    </w:lvl>
    <w:lvl w:ilvl="2" w:tplc="04260005">
      <w:start w:val="1"/>
      <w:numFmt w:val="bullet"/>
      <w:lvlText w:val=""/>
      <w:lvlJc w:val="left"/>
      <w:pPr>
        <w:ind w:left="3785" w:hanging="360"/>
      </w:pPr>
      <w:rPr>
        <w:rFonts w:ascii="Wingdings" w:hAnsi="Wingdings" w:hint="default"/>
      </w:rPr>
    </w:lvl>
    <w:lvl w:ilvl="3" w:tplc="04260001">
      <w:start w:val="1"/>
      <w:numFmt w:val="bullet"/>
      <w:lvlText w:val=""/>
      <w:lvlJc w:val="left"/>
      <w:pPr>
        <w:ind w:left="4505" w:hanging="360"/>
      </w:pPr>
      <w:rPr>
        <w:rFonts w:ascii="Symbol" w:hAnsi="Symbol" w:hint="default"/>
      </w:rPr>
    </w:lvl>
    <w:lvl w:ilvl="4" w:tplc="04260003">
      <w:start w:val="1"/>
      <w:numFmt w:val="bullet"/>
      <w:lvlText w:val="o"/>
      <w:lvlJc w:val="left"/>
      <w:pPr>
        <w:ind w:left="5225" w:hanging="360"/>
      </w:pPr>
      <w:rPr>
        <w:rFonts w:ascii="Courier New" w:hAnsi="Courier New" w:cs="Courier New" w:hint="default"/>
      </w:rPr>
    </w:lvl>
    <w:lvl w:ilvl="5" w:tplc="04260005">
      <w:start w:val="1"/>
      <w:numFmt w:val="bullet"/>
      <w:lvlText w:val=""/>
      <w:lvlJc w:val="left"/>
      <w:pPr>
        <w:ind w:left="5945" w:hanging="360"/>
      </w:pPr>
      <w:rPr>
        <w:rFonts w:ascii="Wingdings" w:hAnsi="Wingdings" w:hint="default"/>
      </w:rPr>
    </w:lvl>
    <w:lvl w:ilvl="6" w:tplc="04260001">
      <w:start w:val="1"/>
      <w:numFmt w:val="bullet"/>
      <w:lvlText w:val=""/>
      <w:lvlJc w:val="left"/>
      <w:pPr>
        <w:ind w:left="6665" w:hanging="360"/>
      </w:pPr>
      <w:rPr>
        <w:rFonts w:ascii="Symbol" w:hAnsi="Symbol" w:hint="default"/>
      </w:rPr>
    </w:lvl>
    <w:lvl w:ilvl="7" w:tplc="04260003">
      <w:start w:val="1"/>
      <w:numFmt w:val="bullet"/>
      <w:lvlText w:val="o"/>
      <w:lvlJc w:val="left"/>
      <w:pPr>
        <w:ind w:left="7385" w:hanging="360"/>
      </w:pPr>
      <w:rPr>
        <w:rFonts w:ascii="Courier New" w:hAnsi="Courier New" w:cs="Courier New" w:hint="default"/>
      </w:rPr>
    </w:lvl>
    <w:lvl w:ilvl="8" w:tplc="04260005">
      <w:start w:val="1"/>
      <w:numFmt w:val="bullet"/>
      <w:lvlText w:val=""/>
      <w:lvlJc w:val="left"/>
      <w:pPr>
        <w:ind w:left="8105" w:hanging="360"/>
      </w:pPr>
      <w:rPr>
        <w:rFonts w:ascii="Wingdings" w:hAnsi="Wingdings" w:hint="default"/>
      </w:rPr>
    </w:lvl>
  </w:abstractNum>
  <w:abstractNum w:abstractNumId="29"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0"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C70196"/>
    <w:multiLevelType w:val="hybridMultilevel"/>
    <w:tmpl w:val="61E4D670"/>
    <w:lvl w:ilvl="0" w:tplc="BAB8A3CC">
      <w:numFmt w:val="bullet"/>
      <w:lvlText w:val=""/>
      <w:lvlJc w:val="left"/>
      <w:pPr>
        <w:ind w:left="2421" w:hanging="360"/>
      </w:pPr>
      <w:rPr>
        <w:rFonts w:ascii="Wingdings" w:eastAsiaTheme="minorHAnsi" w:hAnsi="Wingdings" w:cs="Times New Roman" w:hint="default"/>
        <w:color w:val="009999"/>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abstractNum w:abstractNumId="33"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4"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5"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6" w15:restartNumberingAfterBreak="0">
    <w:nsid w:val="7B7D36F7"/>
    <w:multiLevelType w:val="hybridMultilevel"/>
    <w:tmpl w:val="B5DC5614"/>
    <w:lvl w:ilvl="0" w:tplc="6592018C">
      <w:numFmt w:val="bullet"/>
      <w:lvlText w:val=""/>
      <w:lvlJc w:val="left"/>
      <w:pPr>
        <w:ind w:left="221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934" w:hanging="360"/>
      </w:pPr>
      <w:rPr>
        <w:rFonts w:ascii="Courier New" w:hAnsi="Courier New" w:cs="Courier New" w:hint="default"/>
      </w:rPr>
    </w:lvl>
    <w:lvl w:ilvl="2" w:tplc="04260005" w:tentative="1">
      <w:start w:val="1"/>
      <w:numFmt w:val="bullet"/>
      <w:lvlText w:val=""/>
      <w:lvlJc w:val="left"/>
      <w:pPr>
        <w:ind w:left="3654" w:hanging="360"/>
      </w:pPr>
      <w:rPr>
        <w:rFonts w:ascii="Wingdings" w:hAnsi="Wingdings" w:hint="default"/>
      </w:rPr>
    </w:lvl>
    <w:lvl w:ilvl="3" w:tplc="04260001" w:tentative="1">
      <w:start w:val="1"/>
      <w:numFmt w:val="bullet"/>
      <w:lvlText w:val=""/>
      <w:lvlJc w:val="left"/>
      <w:pPr>
        <w:ind w:left="4374" w:hanging="360"/>
      </w:pPr>
      <w:rPr>
        <w:rFonts w:ascii="Symbol" w:hAnsi="Symbol" w:hint="default"/>
      </w:rPr>
    </w:lvl>
    <w:lvl w:ilvl="4" w:tplc="04260003" w:tentative="1">
      <w:start w:val="1"/>
      <w:numFmt w:val="bullet"/>
      <w:lvlText w:val="o"/>
      <w:lvlJc w:val="left"/>
      <w:pPr>
        <w:ind w:left="5094" w:hanging="360"/>
      </w:pPr>
      <w:rPr>
        <w:rFonts w:ascii="Courier New" w:hAnsi="Courier New" w:cs="Courier New" w:hint="default"/>
      </w:rPr>
    </w:lvl>
    <w:lvl w:ilvl="5" w:tplc="04260005" w:tentative="1">
      <w:start w:val="1"/>
      <w:numFmt w:val="bullet"/>
      <w:lvlText w:val=""/>
      <w:lvlJc w:val="left"/>
      <w:pPr>
        <w:ind w:left="5814" w:hanging="360"/>
      </w:pPr>
      <w:rPr>
        <w:rFonts w:ascii="Wingdings" w:hAnsi="Wingdings" w:hint="default"/>
      </w:rPr>
    </w:lvl>
    <w:lvl w:ilvl="6" w:tplc="04260001" w:tentative="1">
      <w:start w:val="1"/>
      <w:numFmt w:val="bullet"/>
      <w:lvlText w:val=""/>
      <w:lvlJc w:val="left"/>
      <w:pPr>
        <w:ind w:left="6534" w:hanging="360"/>
      </w:pPr>
      <w:rPr>
        <w:rFonts w:ascii="Symbol" w:hAnsi="Symbol" w:hint="default"/>
      </w:rPr>
    </w:lvl>
    <w:lvl w:ilvl="7" w:tplc="04260003" w:tentative="1">
      <w:start w:val="1"/>
      <w:numFmt w:val="bullet"/>
      <w:lvlText w:val="o"/>
      <w:lvlJc w:val="left"/>
      <w:pPr>
        <w:ind w:left="7254" w:hanging="360"/>
      </w:pPr>
      <w:rPr>
        <w:rFonts w:ascii="Courier New" w:hAnsi="Courier New" w:cs="Courier New" w:hint="default"/>
      </w:rPr>
    </w:lvl>
    <w:lvl w:ilvl="8" w:tplc="04260005" w:tentative="1">
      <w:start w:val="1"/>
      <w:numFmt w:val="bullet"/>
      <w:lvlText w:val=""/>
      <w:lvlJc w:val="left"/>
      <w:pPr>
        <w:ind w:left="7974" w:hanging="360"/>
      </w:pPr>
      <w:rPr>
        <w:rFonts w:ascii="Wingdings" w:hAnsi="Wingdings" w:hint="default"/>
      </w:rPr>
    </w:lvl>
  </w:abstractNum>
  <w:num w:numId="1" w16cid:durableId="1084568741">
    <w:abstractNumId w:val="17"/>
  </w:num>
  <w:num w:numId="2" w16cid:durableId="1002586441">
    <w:abstractNumId w:val="33"/>
  </w:num>
  <w:num w:numId="3" w16cid:durableId="612398219">
    <w:abstractNumId w:val="23"/>
  </w:num>
  <w:num w:numId="4" w16cid:durableId="1878201764">
    <w:abstractNumId w:val="24"/>
  </w:num>
  <w:num w:numId="5" w16cid:durableId="2079091370">
    <w:abstractNumId w:val="34"/>
  </w:num>
  <w:num w:numId="6" w16cid:durableId="805200319">
    <w:abstractNumId w:val="31"/>
  </w:num>
  <w:num w:numId="7" w16cid:durableId="785009224">
    <w:abstractNumId w:val="17"/>
  </w:num>
  <w:num w:numId="8" w16cid:durableId="791826029">
    <w:abstractNumId w:val="17"/>
  </w:num>
  <w:num w:numId="9" w16cid:durableId="1898587177">
    <w:abstractNumId w:val="17"/>
  </w:num>
  <w:num w:numId="10" w16cid:durableId="1351368505">
    <w:abstractNumId w:val="17"/>
  </w:num>
  <w:num w:numId="11" w16cid:durableId="1710758482">
    <w:abstractNumId w:val="0"/>
  </w:num>
  <w:num w:numId="12" w16cid:durableId="227151296">
    <w:abstractNumId w:val="23"/>
  </w:num>
  <w:num w:numId="13" w16cid:durableId="1511413723">
    <w:abstractNumId w:val="12"/>
  </w:num>
  <w:num w:numId="14" w16cid:durableId="453644661">
    <w:abstractNumId w:val="6"/>
  </w:num>
  <w:num w:numId="15" w16cid:durableId="1255939120">
    <w:abstractNumId w:val="19"/>
  </w:num>
  <w:num w:numId="16" w16cid:durableId="1742558380">
    <w:abstractNumId w:val="2"/>
  </w:num>
  <w:num w:numId="17" w16cid:durableId="576861299">
    <w:abstractNumId w:val="24"/>
  </w:num>
  <w:num w:numId="18" w16cid:durableId="1780447597">
    <w:abstractNumId w:val="24"/>
  </w:num>
  <w:num w:numId="19" w16cid:durableId="1988315234">
    <w:abstractNumId w:val="10"/>
  </w:num>
  <w:num w:numId="20" w16cid:durableId="845705579">
    <w:abstractNumId w:val="35"/>
  </w:num>
  <w:num w:numId="21" w16cid:durableId="440103488">
    <w:abstractNumId w:val="11"/>
  </w:num>
  <w:num w:numId="22" w16cid:durableId="1675496255">
    <w:abstractNumId w:val="25"/>
  </w:num>
  <w:num w:numId="23" w16cid:durableId="1299608643">
    <w:abstractNumId w:val="3"/>
  </w:num>
  <w:num w:numId="24" w16cid:durableId="903562807">
    <w:abstractNumId w:val="9"/>
  </w:num>
  <w:num w:numId="25" w16cid:durableId="1560552761">
    <w:abstractNumId w:val="1"/>
  </w:num>
  <w:num w:numId="26" w16cid:durableId="1082872643">
    <w:abstractNumId w:val="29"/>
  </w:num>
  <w:num w:numId="27" w16cid:durableId="847136614">
    <w:abstractNumId w:val="18"/>
  </w:num>
  <w:num w:numId="28" w16cid:durableId="514684913">
    <w:abstractNumId w:val="8"/>
  </w:num>
  <w:num w:numId="29" w16cid:durableId="821771440">
    <w:abstractNumId w:val="16"/>
  </w:num>
  <w:num w:numId="30" w16cid:durableId="1373848089">
    <w:abstractNumId w:val="26"/>
  </w:num>
  <w:num w:numId="31" w16cid:durableId="2130270647">
    <w:abstractNumId w:val="27"/>
  </w:num>
  <w:num w:numId="32" w16cid:durableId="286089500">
    <w:abstractNumId w:val="15"/>
  </w:num>
  <w:num w:numId="33" w16cid:durableId="441726132">
    <w:abstractNumId w:val="30"/>
  </w:num>
  <w:num w:numId="34" w16cid:durableId="1253315484">
    <w:abstractNumId w:val="22"/>
  </w:num>
  <w:num w:numId="35" w16cid:durableId="1200044756">
    <w:abstractNumId w:val="13"/>
  </w:num>
  <w:num w:numId="36" w16cid:durableId="1542985049">
    <w:abstractNumId w:val="14"/>
  </w:num>
  <w:num w:numId="37" w16cid:durableId="31005976">
    <w:abstractNumId w:val="4"/>
  </w:num>
  <w:num w:numId="38" w16cid:durableId="376902780">
    <w:abstractNumId w:val="20"/>
  </w:num>
  <w:num w:numId="39" w16cid:durableId="1888639796">
    <w:abstractNumId w:val="27"/>
  </w:num>
  <w:num w:numId="40" w16cid:durableId="1656107589">
    <w:abstractNumId w:val="5"/>
  </w:num>
  <w:num w:numId="41" w16cid:durableId="1746301304">
    <w:abstractNumId w:val="32"/>
  </w:num>
  <w:num w:numId="42" w16cid:durableId="1609314663">
    <w:abstractNumId w:val="28"/>
  </w:num>
  <w:num w:numId="43" w16cid:durableId="1410613015">
    <w:abstractNumId w:val="4"/>
  </w:num>
  <w:num w:numId="44" w16cid:durableId="176387150">
    <w:abstractNumId w:val="21"/>
  </w:num>
  <w:num w:numId="45" w16cid:durableId="1365524338">
    <w:abstractNumId w:val="7"/>
  </w:num>
  <w:num w:numId="46" w16cid:durableId="419722020">
    <w:abstractNumId w:val="36"/>
  </w:num>
  <w:num w:numId="47" w16cid:durableId="55084604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2754"/>
    <w:rsid w:val="000247ED"/>
    <w:rsid w:val="00033CDD"/>
    <w:rsid w:val="0004042E"/>
    <w:rsid w:val="00041F19"/>
    <w:rsid w:val="0004332C"/>
    <w:rsid w:val="000530F6"/>
    <w:rsid w:val="00053D5D"/>
    <w:rsid w:val="000557AC"/>
    <w:rsid w:val="00060F37"/>
    <w:rsid w:val="00062119"/>
    <w:rsid w:val="00064E07"/>
    <w:rsid w:val="00073666"/>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36262"/>
    <w:rsid w:val="00147A15"/>
    <w:rsid w:val="00152858"/>
    <w:rsid w:val="001547A6"/>
    <w:rsid w:val="00156802"/>
    <w:rsid w:val="00162140"/>
    <w:rsid w:val="0017189E"/>
    <w:rsid w:val="0017793C"/>
    <w:rsid w:val="00183189"/>
    <w:rsid w:val="00185C8C"/>
    <w:rsid w:val="00193834"/>
    <w:rsid w:val="001A109C"/>
    <w:rsid w:val="001A224E"/>
    <w:rsid w:val="001A2590"/>
    <w:rsid w:val="001A688F"/>
    <w:rsid w:val="001C16C9"/>
    <w:rsid w:val="001D0325"/>
    <w:rsid w:val="001D4628"/>
    <w:rsid w:val="001D5F49"/>
    <w:rsid w:val="001E7D4C"/>
    <w:rsid w:val="001F09D2"/>
    <w:rsid w:val="001F18B1"/>
    <w:rsid w:val="001F29F5"/>
    <w:rsid w:val="001F6F0A"/>
    <w:rsid w:val="00214288"/>
    <w:rsid w:val="002148CE"/>
    <w:rsid w:val="00224592"/>
    <w:rsid w:val="002354D1"/>
    <w:rsid w:val="00236B6C"/>
    <w:rsid w:val="00237DA7"/>
    <w:rsid w:val="00237DD4"/>
    <w:rsid w:val="002433A0"/>
    <w:rsid w:val="002459A2"/>
    <w:rsid w:val="00247426"/>
    <w:rsid w:val="002643FB"/>
    <w:rsid w:val="00266B52"/>
    <w:rsid w:val="00272D5E"/>
    <w:rsid w:val="00277A94"/>
    <w:rsid w:val="00281536"/>
    <w:rsid w:val="002846AB"/>
    <w:rsid w:val="002853F9"/>
    <w:rsid w:val="00294A06"/>
    <w:rsid w:val="00295E72"/>
    <w:rsid w:val="002A0F00"/>
    <w:rsid w:val="002A3100"/>
    <w:rsid w:val="002B6B78"/>
    <w:rsid w:val="002C0D91"/>
    <w:rsid w:val="002C73C5"/>
    <w:rsid w:val="002D6171"/>
    <w:rsid w:val="002E7D10"/>
    <w:rsid w:val="002F7746"/>
    <w:rsid w:val="003049C3"/>
    <w:rsid w:val="00304C62"/>
    <w:rsid w:val="00311772"/>
    <w:rsid w:val="003135C1"/>
    <w:rsid w:val="0031569B"/>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5562"/>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97D1F"/>
    <w:rsid w:val="005B0CCD"/>
    <w:rsid w:val="005B2510"/>
    <w:rsid w:val="005B71B4"/>
    <w:rsid w:val="005C2867"/>
    <w:rsid w:val="005C34C4"/>
    <w:rsid w:val="005C7232"/>
    <w:rsid w:val="005D5B45"/>
    <w:rsid w:val="005E19EE"/>
    <w:rsid w:val="005E6C2A"/>
    <w:rsid w:val="005F59DA"/>
    <w:rsid w:val="00614F40"/>
    <w:rsid w:val="00622D1C"/>
    <w:rsid w:val="00626E48"/>
    <w:rsid w:val="00634FC5"/>
    <w:rsid w:val="006368C8"/>
    <w:rsid w:val="006424FC"/>
    <w:rsid w:val="0064675F"/>
    <w:rsid w:val="00654973"/>
    <w:rsid w:val="006556BA"/>
    <w:rsid w:val="006609C4"/>
    <w:rsid w:val="006625B3"/>
    <w:rsid w:val="0066263A"/>
    <w:rsid w:val="006626D0"/>
    <w:rsid w:val="00667834"/>
    <w:rsid w:val="00667F6C"/>
    <w:rsid w:val="00673719"/>
    <w:rsid w:val="00677CC2"/>
    <w:rsid w:val="00682AE5"/>
    <w:rsid w:val="00692D22"/>
    <w:rsid w:val="006A3040"/>
    <w:rsid w:val="006A3371"/>
    <w:rsid w:val="006A7D59"/>
    <w:rsid w:val="006A7E50"/>
    <w:rsid w:val="006B6DF9"/>
    <w:rsid w:val="006C3304"/>
    <w:rsid w:val="006D0A60"/>
    <w:rsid w:val="006D684E"/>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55F5A"/>
    <w:rsid w:val="00757C07"/>
    <w:rsid w:val="00760DD3"/>
    <w:rsid w:val="00761FB3"/>
    <w:rsid w:val="00782003"/>
    <w:rsid w:val="00782ACA"/>
    <w:rsid w:val="007835ED"/>
    <w:rsid w:val="0078581C"/>
    <w:rsid w:val="007A0B59"/>
    <w:rsid w:val="007A7B79"/>
    <w:rsid w:val="007B0817"/>
    <w:rsid w:val="007D0A4D"/>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056"/>
    <w:rsid w:val="0089759B"/>
    <w:rsid w:val="008A2572"/>
    <w:rsid w:val="008A257A"/>
    <w:rsid w:val="008B0E12"/>
    <w:rsid w:val="008C1740"/>
    <w:rsid w:val="008C258D"/>
    <w:rsid w:val="008C281B"/>
    <w:rsid w:val="008C6BF3"/>
    <w:rsid w:val="008D5589"/>
    <w:rsid w:val="008E2A65"/>
    <w:rsid w:val="008F270E"/>
    <w:rsid w:val="008F7FBA"/>
    <w:rsid w:val="009143D9"/>
    <w:rsid w:val="0092464A"/>
    <w:rsid w:val="009404C8"/>
    <w:rsid w:val="009465C9"/>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5FCD"/>
    <w:rsid w:val="009D7063"/>
    <w:rsid w:val="009E389F"/>
    <w:rsid w:val="009E775F"/>
    <w:rsid w:val="00A00EEF"/>
    <w:rsid w:val="00A23131"/>
    <w:rsid w:val="00A308B3"/>
    <w:rsid w:val="00A33DCE"/>
    <w:rsid w:val="00A513C7"/>
    <w:rsid w:val="00A57C84"/>
    <w:rsid w:val="00A65579"/>
    <w:rsid w:val="00A6736D"/>
    <w:rsid w:val="00A75066"/>
    <w:rsid w:val="00A82BFA"/>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A63CA"/>
    <w:rsid w:val="00BA6405"/>
    <w:rsid w:val="00BB014C"/>
    <w:rsid w:val="00BB01A1"/>
    <w:rsid w:val="00BB0260"/>
    <w:rsid w:val="00BB0A22"/>
    <w:rsid w:val="00BB0AD0"/>
    <w:rsid w:val="00BB1C60"/>
    <w:rsid w:val="00BB1DE0"/>
    <w:rsid w:val="00BB699F"/>
    <w:rsid w:val="00BC271B"/>
    <w:rsid w:val="00BC482E"/>
    <w:rsid w:val="00BD060F"/>
    <w:rsid w:val="00BE0533"/>
    <w:rsid w:val="00BE0F3C"/>
    <w:rsid w:val="00BE2A55"/>
    <w:rsid w:val="00BF3F90"/>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0506"/>
    <w:rsid w:val="00C9310D"/>
    <w:rsid w:val="00C941B2"/>
    <w:rsid w:val="00C96774"/>
    <w:rsid w:val="00CA0C46"/>
    <w:rsid w:val="00CA67B5"/>
    <w:rsid w:val="00CB2A49"/>
    <w:rsid w:val="00CC5AA1"/>
    <w:rsid w:val="00CD091D"/>
    <w:rsid w:val="00CD6491"/>
    <w:rsid w:val="00CE2CB9"/>
    <w:rsid w:val="00CF6881"/>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3E21"/>
    <w:rsid w:val="00E240C5"/>
    <w:rsid w:val="00E25DE2"/>
    <w:rsid w:val="00E25EE8"/>
    <w:rsid w:val="00E27FF0"/>
    <w:rsid w:val="00E322AA"/>
    <w:rsid w:val="00E43E30"/>
    <w:rsid w:val="00E47D56"/>
    <w:rsid w:val="00E50D40"/>
    <w:rsid w:val="00E62006"/>
    <w:rsid w:val="00E65AB5"/>
    <w:rsid w:val="00E67BC6"/>
    <w:rsid w:val="00E73FB1"/>
    <w:rsid w:val="00E75B03"/>
    <w:rsid w:val="00E80EEA"/>
    <w:rsid w:val="00E8187E"/>
    <w:rsid w:val="00E844C4"/>
    <w:rsid w:val="00E92142"/>
    <w:rsid w:val="00E925A0"/>
    <w:rsid w:val="00E92A10"/>
    <w:rsid w:val="00E973BC"/>
    <w:rsid w:val="00EA36BA"/>
    <w:rsid w:val="00EA4B49"/>
    <w:rsid w:val="00EA5809"/>
    <w:rsid w:val="00EA58A8"/>
    <w:rsid w:val="00EB2E60"/>
    <w:rsid w:val="00EC3C96"/>
    <w:rsid w:val="00EC3CE4"/>
    <w:rsid w:val="00F03204"/>
    <w:rsid w:val="00F05272"/>
    <w:rsid w:val="00F05725"/>
    <w:rsid w:val="00F07747"/>
    <w:rsid w:val="00F07BA1"/>
    <w:rsid w:val="00F12A5E"/>
    <w:rsid w:val="00F25161"/>
    <w:rsid w:val="00F2551E"/>
    <w:rsid w:val="00F25C60"/>
    <w:rsid w:val="00F33D0A"/>
    <w:rsid w:val="00F34984"/>
    <w:rsid w:val="00F37885"/>
    <w:rsid w:val="00F4236B"/>
    <w:rsid w:val="00F54D21"/>
    <w:rsid w:val="00F561D5"/>
    <w:rsid w:val="00F56992"/>
    <w:rsid w:val="00F6610E"/>
    <w:rsid w:val="00F66271"/>
    <w:rsid w:val="00F665A5"/>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3950">
      <w:bodyDiv w:val="1"/>
      <w:marLeft w:val="0"/>
      <w:marRight w:val="0"/>
      <w:marTop w:val="0"/>
      <w:marBottom w:val="0"/>
      <w:divBdr>
        <w:top w:val="none" w:sz="0" w:space="0" w:color="auto"/>
        <w:left w:val="none" w:sz="0" w:space="0" w:color="auto"/>
        <w:bottom w:val="none" w:sz="0" w:space="0" w:color="auto"/>
        <w:right w:val="none" w:sz="0" w:space="0" w:color="auto"/>
      </w:divBdr>
    </w:div>
    <w:div w:id="376202510">
      <w:bodyDiv w:val="1"/>
      <w:marLeft w:val="0"/>
      <w:marRight w:val="0"/>
      <w:marTop w:val="0"/>
      <w:marBottom w:val="0"/>
      <w:divBdr>
        <w:top w:val="none" w:sz="0" w:space="0" w:color="auto"/>
        <w:left w:val="none" w:sz="0" w:space="0" w:color="auto"/>
        <w:bottom w:val="none" w:sz="0" w:space="0" w:color="auto"/>
        <w:right w:val="none" w:sz="0" w:space="0" w:color="auto"/>
      </w:divBdr>
    </w:div>
    <w:div w:id="444272452">
      <w:bodyDiv w:val="1"/>
      <w:marLeft w:val="0"/>
      <w:marRight w:val="0"/>
      <w:marTop w:val="0"/>
      <w:marBottom w:val="0"/>
      <w:divBdr>
        <w:top w:val="none" w:sz="0" w:space="0" w:color="auto"/>
        <w:left w:val="none" w:sz="0" w:space="0" w:color="auto"/>
        <w:bottom w:val="none" w:sz="0" w:space="0" w:color="auto"/>
        <w:right w:val="none" w:sz="0" w:space="0" w:color="auto"/>
      </w:divBdr>
    </w:div>
    <w:div w:id="539516451">
      <w:bodyDiv w:val="1"/>
      <w:marLeft w:val="0"/>
      <w:marRight w:val="0"/>
      <w:marTop w:val="0"/>
      <w:marBottom w:val="0"/>
      <w:divBdr>
        <w:top w:val="none" w:sz="0" w:space="0" w:color="auto"/>
        <w:left w:val="none" w:sz="0" w:space="0" w:color="auto"/>
        <w:bottom w:val="none" w:sz="0" w:space="0" w:color="auto"/>
        <w:right w:val="none" w:sz="0" w:space="0" w:color="auto"/>
      </w:divBdr>
    </w:div>
    <w:div w:id="555119645">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072655130">
      <w:bodyDiv w:val="1"/>
      <w:marLeft w:val="0"/>
      <w:marRight w:val="0"/>
      <w:marTop w:val="0"/>
      <w:marBottom w:val="0"/>
      <w:divBdr>
        <w:top w:val="none" w:sz="0" w:space="0" w:color="auto"/>
        <w:left w:val="none" w:sz="0" w:space="0" w:color="auto"/>
        <w:bottom w:val="none" w:sz="0" w:space="0" w:color="auto"/>
        <w:right w:val="none" w:sz="0" w:space="0" w:color="auto"/>
      </w:divBdr>
    </w:div>
    <w:div w:id="1413043988">
      <w:bodyDiv w:val="1"/>
      <w:marLeft w:val="0"/>
      <w:marRight w:val="0"/>
      <w:marTop w:val="0"/>
      <w:marBottom w:val="0"/>
      <w:divBdr>
        <w:top w:val="none" w:sz="0" w:space="0" w:color="auto"/>
        <w:left w:val="none" w:sz="0" w:space="0" w:color="auto"/>
        <w:bottom w:val="none" w:sz="0" w:space="0" w:color="auto"/>
        <w:right w:val="none" w:sz="0" w:space="0" w:color="auto"/>
      </w:divBdr>
    </w:div>
    <w:div w:id="1705670796">
      <w:bodyDiv w:val="1"/>
      <w:marLeft w:val="0"/>
      <w:marRight w:val="0"/>
      <w:marTop w:val="0"/>
      <w:marBottom w:val="0"/>
      <w:divBdr>
        <w:top w:val="none" w:sz="0" w:space="0" w:color="auto"/>
        <w:left w:val="none" w:sz="0" w:space="0" w:color="auto"/>
        <w:bottom w:val="none" w:sz="0" w:space="0" w:color="auto"/>
        <w:right w:val="none" w:sz="0" w:space="0" w:color="auto"/>
      </w:divBdr>
    </w:div>
    <w:div w:id="184990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4749" TargetMode="External"/><Relationship Id="rId13" Type="http://schemas.openxmlformats.org/officeDocument/2006/relationships/hyperlink" Target="https://stat.gov.lv/lv/statistikas-temas/uznemejdarbiba/finanses/tabulas/ufi010-bruto-kapitalieguldijumi-pa-darbibas?themeCode=UF" TargetMode="External"/><Relationship Id="rId18" Type="http://schemas.openxmlformats.org/officeDocument/2006/relationships/hyperlink" Target="https://www.ecb.europa.eu/stats/html/index.en.html" TargetMode="External"/><Relationship Id="rId3" Type="http://schemas.openxmlformats.org/officeDocument/2006/relationships/styles" Target="styles.xml"/><Relationship Id="rId21" Type="http://schemas.openxmlformats.org/officeDocument/2006/relationships/hyperlink" Target="https://www.csp.gov.lv/lv/informacijas-drosiba-un-datu-aizsardziba"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stat.gov.lv/lv/statistikas-temas/uznemejdarbiba/finanses/tabulas/ufr010-uznemumu-galvenie-uznemejdarbibas-raditaji?themeCode=UF" TargetMode="External"/><Relationship Id="rId17" Type="http://schemas.openxmlformats.org/officeDocument/2006/relationships/hyperlink" Target="https://data.oecd.org/" TargetMode="External"/><Relationship Id="rId2" Type="http://schemas.openxmlformats.org/officeDocument/2006/relationships/numbering" Target="numbering.xml"/><Relationship Id="rId16" Type="http://schemas.openxmlformats.org/officeDocument/2006/relationships/hyperlink" Target="https://www.bank.lv/" TargetMode="External"/><Relationship Id="rId20" Type="http://schemas.openxmlformats.org/officeDocument/2006/relationships/hyperlink" Target="https://eur-lex.europa.eu/legal-content/LV/TXT/?uri=celex%3A32016R0679"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A32020R1197&amp;qid=1631532435533" TargetMode="External"/><Relationship Id="rId5" Type="http://schemas.openxmlformats.org/officeDocument/2006/relationships/webSettings" Target="webSettings.xml"/><Relationship Id="rId15" Type="http://schemas.openxmlformats.org/officeDocument/2006/relationships/hyperlink" Target="https://www.em.gov.lv/lv/nozares-politika" TargetMode="External"/><Relationship Id="rId23" Type="http://schemas.openxmlformats.org/officeDocument/2006/relationships/theme" Target="theme/theme1.xml"/><Relationship Id="rId10" Type="http://schemas.openxmlformats.org/officeDocument/2006/relationships/hyperlink" Target="https://eur-lex.europa.eu/legal-content/LV/ALL/?uri=CELEX%3A32019R2152" TargetMode="External"/><Relationship Id="rId19" Type="http://schemas.openxmlformats.org/officeDocument/2006/relationships/hyperlink" Target="https://www.imf.org/en/Data" TargetMode="External"/><Relationship Id="rId4" Type="http://schemas.openxmlformats.org/officeDocument/2006/relationships/settings" Target="settings.xml"/><Relationship Id="rId9" Type="http://schemas.openxmlformats.org/officeDocument/2006/relationships/hyperlink" Target="https://eur-lex.europa.eu/legal-content/LV/TXT/?uri=CELEX%3A32013R0549&amp;qid=1620993605941" TargetMode="External"/><Relationship Id="rId14" Type="http://schemas.openxmlformats.org/officeDocument/2006/relationships/hyperlink" Target="https://ec.europa.eu/eurostat/databrowser/view/sbs_na_sca_r2/default/table?lang=en"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5486</Words>
  <Characters>3128</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Marija Kamanica</cp:lastModifiedBy>
  <cp:revision>5</cp:revision>
  <cp:lastPrinted>2024-10-25T10:19:00Z</cp:lastPrinted>
  <dcterms:created xsi:type="dcterms:W3CDTF">2023-12-15T12:35:00Z</dcterms:created>
  <dcterms:modified xsi:type="dcterms:W3CDTF">2024-12-13T12:44:00Z</dcterms:modified>
</cp:coreProperties>
</file>