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77E29DA1" w:rsidR="0051672D" w:rsidRPr="00883277" w:rsidRDefault="00641C80" w:rsidP="008A257A">
      <w:pPr>
        <w:spacing w:after="12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“Pārskats par ieguldījumiem” (6-ieguldījumi)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Saturardtjavirsraksts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ipersaite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ipersaite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ipersaite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ipersaite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ipersaite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ipersaite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ipersaite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Saturs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Saturs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Virsraksts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4842EB09" w:rsidR="009404C8" w:rsidRDefault="009404C8" w:rsidP="00214288">
      <w:r w:rsidRPr="009404C8">
        <w:t>Pārvalde lūdz iesniegt datus, lai nodroš</w:t>
      </w:r>
      <w:r w:rsidRPr="00641C80">
        <w:t xml:space="preserve">inātu lietotāju vajadzības, kas definētas </w:t>
      </w:r>
      <w:hyperlink r:id="rId7" w:history="1">
        <w:r w:rsidRPr="00641C80">
          <w:rPr>
            <w:rFonts w:cs="Verdana"/>
            <w:color w:val="0000FF"/>
            <w:szCs w:val="20"/>
          </w:rPr>
          <w:t>Oficiālās statistikas programmas</w:t>
        </w:r>
      </w:hyperlink>
      <w:r w:rsidRPr="00641C80">
        <w:rPr>
          <w:color w:val="0000FF"/>
        </w:rPr>
        <w:t xml:space="preserve"> </w:t>
      </w:r>
      <w:r w:rsidRPr="00641C80">
        <w:t>pielikuma 1.</w:t>
      </w:r>
      <w:r w:rsidR="00981005" w:rsidRPr="00641C80">
        <w:t> </w:t>
      </w:r>
      <w:r w:rsidRPr="00641C80">
        <w:t xml:space="preserve">punktā (Nacionālo kontu sistēma) un </w:t>
      </w:r>
      <w:r w:rsidR="00641C80" w:rsidRPr="00641C80">
        <w:rPr>
          <w:szCs w:val="20"/>
        </w:rPr>
        <w:t>22. punktā (Investīciju statistika)</w:t>
      </w:r>
      <w:r w:rsidRPr="00641C80">
        <w:t>.</w:t>
      </w:r>
    </w:p>
    <w:p w14:paraId="72A32E49" w14:textId="54E54B73" w:rsidR="00381049" w:rsidRDefault="00641C80" w:rsidP="00214288">
      <w:pPr>
        <w:rPr>
          <w:bCs/>
          <w:color w:val="000000"/>
        </w:rPr>
      </w:pPr>
      <w:r>
        <w:rPr>
          <w:rFonts w:cs="Times New Roman"/>
          <w:color w:val="000000"/>
        </w:rPr>
        <w:t xml:space="preserve">Jūsu uzņēmuma </w:t>
      </w:r>
      <w:r w:rsidR="00845AEC">
        <w:rPr>
          <w:rFonts w:cs="Times New Roman"/>
          <w:color w:val="000000"/>
        </w:rPr>
        <w:t xml:space="preserve">sniegtie </w:t>
      </w:r>
      <w:r>
        <w:rPr>
          <w:rFonts w:cs="Times New Roman"/>
          <w:color w:val="000000"/>
        </w:rPr>
        <w:t>dati ir vienīgais datu avots ceturkšņa</w:t>
      </w:r>
      <w:r>
        <w:t xml:space="preserve"> bruto kapitālieguldījumu aprēķinam, nodrošinot informāciju investīciju attīstības novērtējumam un analīzei.</w:t>
      </w:r>
    </w:p>
    <w:p w14:paraId="41185709" w14:textId="56890C52" w:rsidR="00FB66EA" w:rsidRPr="00C13E38" w:rsidRDefault="008C258D" w:rsidP="004652B7">
      <w:pPr>
        <w:pStyle w:val="Virsraksts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63CDD79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641C80">
        <w:t xml:space="preserve">o </w:t>
      </w:r>
      <w:r w:rsidR="00322F85" w:rsidRPr="00C13E38">
        <w:t>tiesību aktu:</w:t>
      </w:r>
    </w:p>
    <w:p w14:paraId="276BD1E0" w14:textId="0C2253C1" w:rsidR="00156802" w:rsidRDefault="00641C80" w:rsidP="008A2572">
      <w:pPr>
        <w:pStyle w:val="Bezatstarpm"/>
        <w:numPr>
          <w:ilvl w:val="2"/>
          <w:numId w:val="26"/>
        </w:numPr>
      </w:pPr>
      <w:hyperlink r:id="rId8" w:history="1">
        <w:r w:rsidRPr="00641C80">
          <w:rPr>
            <w:rStyle w:val="Hipersaite"/>
          </w:rPr>
          <w:t>Eiropas Parlamenta un Padomes 2013. gada 21. maija Regul</w:t>
        </w:r>
        <w:r w:rsidR="00E90452">
          <w:rPr>
            <w:rStyle w:val="Hipersaite"/>
          </w:rPr>
          <w:t>u</w:t>
        </w:r>
        <w:r w:rsidRPr="00641C80">
          <w:rPr>
            <w:rStyle w:val="Hipersaite"/>
          </w:rPr>
          <w:t xml:space="preserve"> (ES) Nr. 549/2013</w:t>
        </w:r>
      </w:hyperlink>
      <w:r>
        <w:t xml:space="preserve"> par Eiropas nacionālo un reģionālo kontu sistēmu Eiropas Savienībā (Dokuments attiecas uz EEZ).</w:t>
      </w:r>
    </w:p>
    <w:p w14:paraId="0EA759E9" w14:textId="43AFA218" w:rsidR="00E47D56" w:rsidRPr="00F37885" w:rsidRDefault="008C258D" w:rsidP="00A513C7">
      <w:pPr>
        <w:pStyle w:val="Virsraksts1"/>
        <w:numPr>
          <w:ilvl w:val="0"/>
          <w:numId w:val="29"/>
        </w:numPr>
      </w:pPr>
      <w:bookmarkStart w:id="3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ipersaite"/>
            <w:rFonts w:cs="Times New Roman"/>
            <w:szCs w:val="20"/>
          </w:rPr>
          <w:t>Stat</w:t>
        </w:r>
        <w:r w:rsidR="00DC7EFA" w:rsidRPr="008C1740">
          <w:rPr>
            <w:rStyle w:val="Hipersaite"/>
            <w:rFonts w:cs="Times New Roman"/>
            <w:szCs w:val="20"/>
          </w:rPr>
          <w:t>i</w:t>
        </w:r>
        <w:r w:rsidRPr="008C1740">
          <w:rPr>
            <w:rStyle w:val="Hipersaite"/>
            <w:rFonts w:cs="Times New Roman"/>
            <w:szCs w:val="20"/>
          </w:rPr>
          <w:t>s</w:t>
        </w:r>
        <w:r w:rsidR="00DC7EFA" w:rsidRPr="008C1740">
          <w:rPr>
            <w:rStyle w:val="Hipersaite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Virsraksts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4F95039D" w:rsidR="00381049" w:rsidRPr="00641C80" w:rsidRDefault="00641C80" w:rsidP="00641C80">
      <w:pPr>
        <w:rPr>
          <w:b/>
          <w:bCs/>
        </w:rPr>
      </w:pPr>
      <w:r w:rsidRPr="00641C80">
        <w:rPr>
          <w:rStyle w:val="Izteiksmgs"/>
          <w:rFonts w:cs="Open Sans"/>
          <w:b w:val="0"/>
          <w:bCs w:val="0"/>
          <w:color w:val="000000"/>
          <w:szCs w:val="20"/>
        </w:rPr>
        <w:t>Administratīvo datu nav.</w:t>
      </w:r>
    </w:p>
    <w:p w14:paraId="1F5F0C07" w14:textId="211764FC" w:rsidR="004E42BB" w:rsidRPr="00C13E38" w:rsidRDefault="00D44A6F" w:rsidP="004652B7">
      <w:pPr>
        <w:pStyle w:val="Virsraksts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3F2409D7" w14:textId="77777777" w:rsidR="00FC5ACD" w:rsidRDefault="00FC5ACD" w:rsidP="00FC5ACD">
      <w:r>
        <w:t>Apsekojumā iekļauj:</w:t>
      </w:r>
    </w:p>
    <w:p w14:paraId="2CA61C34" w14:textId="77777777" w:rsidR="00EA520B" w:rsidRDefault="00EA520B" w:rsidP="00EA520B">
      <w:pPr>
        <w:pStyle w:val="Bezatstarpm"/>
        <w:rPr>
          <w:rFonts w:ascii="Verdana Pro" w:hAnsi="Verdana Pro"/>
        </w:rPr>
      </w:pPr>
      <w:r>
        <w:t>valsts un pašvaldību budžeta iestādes, kurās nodarbināto skaits ir 50 un vairāk;</w:t>
      </w:r>
    </w:p>
    <w:p w14:paraId="126380B8" w14:textId="0F149EEC" w:rsidR="00EA520B" w:rsidRPr="00EA520B" w:rsidRDefault="00CE031B" w:rsidP="00FC5ACD">
      <w:pPr>
        <w:pStyle w:val="Bezatstarpm"/>
        <w:rPr>
          <w:rFonts w:ascii="Verdana Pro" w:hAnsi="Verdana Pro"/>
        </w:rPr>
      </w:pPr>
      <w:r>
        <w:t xml:space="preserve">visas </w:t>
      </w:r>
      <w:r w:rsidR="002443E1">
        <w:t xml:space="preserve">valsts un pašvaldību struktūru kontrolētas un finansētas </w:t>
      </w:r>
      <w:r>
        <w:t>komercsabiedrības</w:t>
      </w:r>
    </w:p>
    <w:p w14:paraId="7BAD82AF" w14:textId="74755869" w:rsidR="008C7101" w:rsidRDefault="00CE031B" w:rsidP="00EA520B">
      <w:pPr>
        <w:pStyle w:val="Bezatstarpm"/>
      </w:pPr>
      <w:r>
        <w:t>visus uzņēmumus</w:t>
      </w:r>
      <w:r w:rsidR="008C7101">
        <w:rPr>
          <w:rFonts w:cs="Times New Roman"/>
        </w:rPr>
        <w:t xml:space="preserve">, </w:t>
      </w:r>
      <w:r w:rsidR="008C7101">
        <w:t>kur</w:t>
      </w:r>
      <w:r>
        <w:t>o</w:t>
      </w:r>
      <w:r w:rsidR="008C7101">
        <w:t>s nodarbināto skaits ir 100 un vairāk;</w:t>
      </w:r>
    </w:p>
    <w:p w14:paraId="1902A182" w14:textId="3F15901D" w:rsidR="00EA520B" w:rsidRDefault="00EA520B" w:rsidP="00EA520B">
      <w:pPr>
        <w:pStyle w:val="Bezatstarpm"/>
      </w:pPr>
      <w:r w:rsidRPr="005256DD">
        <w:t>vis</w:t>
      </w:r>
      <w:r w:rsidR="00CE031B">
        <w:t>u</w:t>
      </w:r>
      <w:r>
        <w:t>s</w:t>
      </w:r>
      <w:r w:rsidRPr="005256DD">
        <w:t xml:space="preserve"> </w:t>
      </w:r>
      <w:r w:rsidR="00CE031B">
        <w:t>uzņēmumus</w:t>
      </w:r>
      <w:r w:rsidRPr="005256DD">
        <w:t xml:space="preserve"> NACE 2.</w:t>
      </w:r>
      <w:r w:rsidR="00CE031B">
        <w:t>1.</w:t>
      </w:r>
      <w:r w:rsidRPr="005256DD">
        <w:t xml:space="preserve"> </w:t>
      </w:r>
      <w:proofErr w:type="spellStart"/>
      <w:r w:rsidRPr="005256DD">
        <w:t>red</w:t>
      </w:r>
      <w:proofErr w:type="spellEnd"/>
      <w:r w:rsidRPr="005256DD">
        <w:t xml:space="preserve">. nodaļu līmenī, kuri veido </w:t>
      </w:r>
      <w:r w:rsidR="00000972">
        <w:t>65</w:t>
      </w:r>
      <w:r w:rsidRPr="005256DD">
        <w:t xml:space="preserve">% no nozares bilances par iepriekšējo gadu vai apkopotie dati aptver ne mazāk kā </w:t>
      </w:r>
      <w:r w:rsidR="00000972">
        <w:t>68</w:t>
      </w:r>
      <w:r w:rsidRPr="005256DD">
        <w:t>% no kopējās darījumu vērtības, kas uzrādītas PVN deklarācijās;</w:t>
      </w:r>
    </w:p>
    <w:p w14:paraId="7371EEE5" w14:textId="26D7E1C8" w:rsidR="00EA520B" w:rsidRPr="00F33D0A" w:rsidRDefault="00EA520B" w:rsidP="00EA520B">
      <w:pPr>
        <w:pStyle w:val="Bezatstarpm"/>
      </w:pPr>
      <w:r>
        <w:t>pārēj</w:t>
      </w:r>
      <w:r w:rsidR="00CE031B">
        <w:t>o</w:t>
      </w:r>
      <w:r>
        <w:t xml:space="preserve">s </w:t>
      </w:r>
      <w:r w:rsidR="00CE031B">
        <w:t>uzņēmumus</w:t>
      </w:r>
      <w:r>
        <w:t xml:space="preserve"> - izlases veidā.</w:t>
      </w:r>
    </w:p>
    <w:p w14:paraId="0AD9548B" w14:textId="77777777" w:rsidR="00D20C84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32D018AD" w:rsidR="00F33D0A" w:rsidRDefault="000D32B1" w:rsidP="00D20C84">
      <w:pPr>
        <w:pStyle w:val="Bezatstarpm"/>
      </w:pPr>
      <w:hyperlink r:id="rId10" w:history="1">
        <w:r w:rsidRPr="00641C80">
          <w:rPr>
            <w:rStyle w:val="Hipersaite"/>
          </w:rPr>
          <w:t>Eiropas Parlamenta un Padomes 2013. gada 21. maija Regula</w:t>
        </w:r>
        <w:r w:rsidR="007B3BAF">
          <w:rPr>
            <w:rStyle w:val="Hipersaite"/>
          </w:rPr>
          <w:t>s</w:t>
        </w:r>
        <w:r w:rsidRPr="00641C80">
          <w:rPr>
            <w:rStyle w:val="Hipersaite"/>
          </w:rPr>
          <w:t xml:space="preserve"> (ES) Nr. 549/2013</w:t>
        </w:r>
      </w:hyperlink>
      <w:r>
        <w:t xml:space="preserve"> par Eiropas nacionālo un reģionālo kontu sistēmu </w:t>
      </w:r>
      <w:r w:rsidR="00AE5397">
        <w:t>1</w:t>
      </w:r>
      <w:r>
        <w:t>. pants</w:t>
      </w:r>
      <w:r w:rsidR="00D20C84">
        <w:t>;</w:t>
      </w:r>
    </w:p>
    <w:p w14:paraId="632B3D47" w14:textId="0CDAC67B" w:rsidR="00D20C84" w:rsidRPr="00C13E38" w:rsidRDefault="00D20C84" w:rsidP="00D20C84">
      <w:pPr>
        <w:pStyle w:val="Bezatstarpm"/>
      </w:pPr>
      <w:hyperlink r:id="rId11" w:history="1">
        <w:r w:rsidRPr="00A611D9">
          <w:rPr>
            <w:rStyle w:val="Hipersaite"/>
          </w:rPr>
          <w:t>Ministru kabineta 2016. gada 20. decembra noteikumi 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Virsraksts1"/>
        <w:numPr>
          <w:ilvl w:val="0"/>
          <w:numId w:val="21"/>
        </w:numPr>
      </w:pPr>
      <w:bookmarkStart w:id="6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bookmarkStart w:id="7" w:name="_Toc40698654"/>
    <w:p w14:paraId="438F1029" w14:textId="09CE303B" w:rsidR="00381049" w:rsidRPr="00373C0F" w:rsidRDefault="00373C0F" w:rsidP="00CF0D9F">
      <w:pPr>
        <w:pStyle w:val="Bezatstarpm"/>
        <w:rPr>
          <w:rStyle w:val="Hipersaite"/>
          <w:rFonts w:cs="Times New Roman"/>
          <w:szCs w:val="20"/>
        </w:rPr>
      </w:pP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>HYPERLINK "https://data.stat.gov.lv/pxweb/lv/OSP_PUB/START__ENT__UF__UFI/?tablelist=true"</w:instrText>
      </w:r>
      <w:r>
        <w:rPr>
          <w:rFonts w:cs="Times New Roman"/>
          <w:szCs w:val="20"/>
        </w:rPr>
      </w:r>
      <w:r>
        <w:rPr>
          <w:rFonts w:cs="Times New Roman"/>
          <w:szCs w:val="20"/>
        </w:rPr>
        <w:fldChar w:fldCharType="separate"/>
      </w:r>
      <w:r w:rsidR="00641C80" w:rsidRPr="00373C0F">
        <w:rPr>
          <w:rStyle w:val="Hipersaite"/>
          <w:rFonts w:cs="Times New Roman"/>
          <w:szCs w:val="20"/>
        </w:rPr>
        <w:t>Oficiālās statistikas portālā</w:t>
      </w:r>
    </w:p>
    <w:bookmarkStart w:id="8" w:name="_Toc70071553"/>
    <w:p w14:paraId="46C4D164" w14:textId="4E866DB0" w:rsidR="005472C0" w:rsidRPr="00C13E38" w:rsidRDefault="00373C0F" w:rsidP="004652B7">
      <w:pPr>
        <w:pStyle w:val="Virsraksts1"/>
        <w:numPr>
          <w:ilvl w:val="0"/>
          <w:numId w:val="22"/>
        </w:numPr>
      </w:pPr>
      <w:r>
        <w:rPr>
          <w:rFonts w:eastAsiaTheme="minorHAnsi" w:cs="Times New Roman"/>
          <w:color w:val="auto"/>
          <w:sz w:val="20"/>
          <w:szCs w:val="20"/>
        </w:rPr>
        <w:fldChar w:fldCharType="end"/>
      </w:r>
      <w:r w:rsidR="004D4ABE"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7"/>
      <w:r w:rsidR="004D4ABE">
        <w:t>?</w:t>
      </w:r>
      <w:bookmarkEnd w:id="8"/>
    </w:p>
    <w:p w14:paraId="107E51C1" w14:textId="0D62DD5C" w:rsidR="00641C80" w:rsidRPr="00B91BE7" w:rsidRDefault="00B91BE7" w:rsidP="00641C80">
      <w:pPr>
        <w:pStyle w:val="Bezatstarpm"/>
        <w:rPr>
          <w:rStyle w:val="Hipersaite"/>
          <w:rFonts w:cs="Open Sans"/>
          <w:szCs w:val="20"/>
          <w:shd w:val="clear" w:color="auto" w:fill="FFFFFF"/>
        </w:rPr>
      </w:pPr>
      <w:r>
        <w:rPr>
          <w:szCs w:val="20"/>
        </w:rPr>
        <w:fldChar w:fldCharType="begin"/>
      </w:r>
      <w:r w:rsidR="000D32B1">
        <w:rPr>
          <w:szCs w:val="20"/>
        </w:rPr>
        <w:instrText>HYPERLINK "https://www.em.gov.lv/lv/ekonomiska-attistiba"</w:instrText>
      </w:r>
      <w:r>
        <w:rPr>
          <w:szCs w:val="20"/>
        </w:rPr>
      </w:r>
      <w:r>
        <w:rPr>
          <w:szCs w:val="20"/>
        </w:rPr>
        <w:fldChar w:fldCharType="separate"/>
      </w:r>
      <w:r w:rsidR="00641C80" w:rsidRPr="00B91BE7">
        <w:rPr>
          <w:rStyle w:val="Hipersaite"/>
          <w:szCs w:val="20"/>
        </w:rPr>
        <w:t>Ekonomikas ministrija</w:t>
      </w:r>
    </w:p>
    <w:p w14:paraId="59132264" w14:textId="08714E83" w:rsidR="00641C80" w:rsidRPr="00641C80" w:rsidRDefault="00B91BE7" w:rsidP="00641C80">
      <w:pPr>
        <w:pStyle w:val="Bezatstarpm"/>
        <w:rPr>
          <w:rFonts w:cs="Open Sans"/>
          <w:color w:val="000000"/>
          <w:szCs w:val="20"/>
          <w:u w:val="single"/>
          <w:shd w:val="clear" w:color="auto" w:fill="FFFFFF"/>
        </w:rPr>
      </w:pPr>
      <w:r>
        <w:rPr>
          <w:szCs w:val="20"/>
        </w:rPr>
        <w:fldChar w:fldCharType="end"/>
      </w:r>
      <w:hyperlink r:id="rId12" w:history="1">
        <w:r w:rsidR="00641C80" w:rsidRPr="00641C80">
          <w:rPr>
            <w:rStyle w:val="Hipersaite"/>
            <w:szCs w:val="20"/>
          </w:rPr>
          <w:t>Zemkopības</w:t>
        </w:r>
        <w:r w:rsidR="00641C80" w:rsidRPr="00641C80">
          <w:rPr>
            <w:rStyle w:val="Hipersaite"/>
            <w:rFonts w:cs="Times New Roman"/>
            <w:szCs w:val="20"/>
          </w:rPr>
          <w:t xml:space="preserve"> </w:t>
        </w:r>
        <w:r w:rsidR="00641C80" w:rsidRPr="00641C80">
          <w:rPr>
            <w:rStyle w:val="Hipersaite"/>
            <w:szCs w:val="20"/>
          </w:rPr>
          <w:t>ministrija</w:t>
        </w:r>
      </w:hyperlink>
    </w:p>
    <w:p w14:paraId="3CB4F6A1" w14:textId="321E643B" w:rsidR="00381049" w:rsidRPr="00641C80" w:rsidRDefault="00641C80" w:rsidP="00641C80">
      <w:pPr>
        <w:pStyle w:val="Bezatstarpm"/>
      </w:pPr>
      <w:hyperlink r:id="rId13" w:history="1">
        <w:r w:rsidRPr="00641C80">
          <w:rPr>
            <w:rStyle w:val="Hipersaite"/>
            <w:szCs w:val="20"/>
          </w:rPr>
          <w:t>Latvijas Banka</w:t>
        </w:r>
      </w:hyperlink>
    </w:p>
    <w:p w14:paraId="78598D9A" w14:textId="574F8115" w:rsidR="00CB2A49" w:rsidRPr="00C13E38" w:rsidRDefault="004D4ABE" w:rsidP="00A513C7">
      <w:pPr>
        <w:pStyle w:val="Virsraksts1"/>
        <w:numPr>
          <w:ilvl w:val="0"/>
          <w:numId w:val="30"/>
        </w:numPr>
      </w:pPr>
      <w:bookmarkStart w:id="9" w:name="_Toc70071554"/>
      <w:r>
        <w:t>Vai Pārvalde ievēro d</w:t>
      </w:r>
      <w:r w:rsidR="00CB2A49" w:rsidRPr="00C13E38">
        <w:t>atu konfidencialitāt</w:t>
      </w:r>
      <w:r>
        <w:t>i?</w:t>
      </w:r>
      <w:bookmarkEnd w:id="9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Virsraksts1"/>
        <w:numPr>
          <w:ilvl w:val="0"/>
          <w:numId w:val="20"/>
        </w:numPr>
      </w:pPr>
      <w:bookmarkStart w:id="10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0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4" w:history="1">
        <w:r w:rsidR="00953091" w:rsidRPr="00CF6881">
          <w:rPr>
            <w:rStyle w:val="Hipersaite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5" w:history="1">
        <w:r w:rsidR="00266B52" w:rsidRPr="00F21D6D">
          <w:rPr>
            <w:rStyle w:val="Hipersaite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F944AF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304369034" o:spid="_x0000_i1025" type="#_x0000_t75" style="width:1in;height:1in;visibility:visible;mso-wrap-style:square">
            <v:imagedata r:id="rId1" o:title=""/>
          </v:shape>
        </w:pict>
      </mc:Choice>
      <mc:Fallback>
        <w:drawing>
          <wp:inline distT="0" distB="0" distL="0" distR="0" wp14:anchorId="584C7B86" wp14:editId="092BB75F">
            <wp:extent cx="914400" cy="914400"/>
            <wp:effectExtent l="0" t="0" r="0" b="0"/>
            <wp:docPr id="304369034" name="Attēls 304369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847888"/>
    <w:multiLevelType w:val="hybridMultilevel"/>
    <w:tmpl w:val="A89C1346"/>
    <w:lvl w:ilvl="0" w:tplc="E58E2534">
      <w:numFmt w:val="bullet"/>
      <w:pStyle w:val="Bezatstarpm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F33B51"/>
    <w:multiLevelType w:val="hybridMultilevel"/>
    <w:tmpl w:val="A5227764"/>
    <w:lvl w:ilvl="0" w:tplc="8C341590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Saturs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04162253">
    <w:abstractNumId w:val="14"/>
  </w:num>
  <w:num w:numId="2" w16cid:durableId="1442217052">
    <w:abstractNumId w:val="27"/>
  </w:num>
  <w:num w:numId="3" w16cid:durableId="1203134588">
    <w:abstractNumId w:val="18"/>
  </w:num>
  <w:num w:numId="4" w16cid:durableId="450130520">
    <w:abstractNumId w:val="19"/>
  </w:num>
  <w:num w:numId="5" w16cid:durableId="805853971">
    <w:abstractNumId w:val="28"/>
  </w:num>
  <w:num w:numId="6" w16cid:durableId="698626702">
    <w:abstractNumId w:val="26"/>
  </w:num>
  <w:num w:numId="7" w16cid:durableId="1431658227">
    <w:abstractNumId w:val="14"/>
  </w:num>
  <w:num w:numId="8" w16cid:durableId="174854543">
    <w:abstractNumId w:val="14"/>
  </w:num>
  <w:num w:numId="9" w16cid:durableId="935673286">
    <w:abstractNumId w:val="14"/>
  </w:num>
  <w:num w:numId="10" w16cid:durableId="995694251">
    <w:abstractNumId w:val="14"/>
  </w:num>
  <w:num w:numId="11" w16cid:durableId="932588372">
    <w:abstractNumId w:val="0"/>
  </w:num>
  <w:num w:numId="12" w16cid:durableId="414013925">
    <w:abstractNumId w:val="18"/>
  </w:num>
  <w:num w:numId="13" w16cid:durableId="1846244368">
    <w:abstractNumId w:val="9"/>
  </w:num>
  <w:num w:numId="14" w16cid:durableId="1356226328">
    <w:abstractNumId w:val="4"/>
  </w:num>
  <w:num w:numId="15" w16cid:durableId="1081488371">
    <w:abstractNumId w:val="16"/>
  </w:num>
  <w:num w:numId="16" w16cid:durableId="340546462">
    <w:abstractNumId w:val="2"/>
  </w:num>
  <w:num w:numId="17" w16cid:durableId="353187484">
    <w:abstractNumId w:val="19"/>
  </w:num>
  <w:num w:numId="18" w16cid:durableId="206652319">
    <w:abstractNumId w:val="19"/>
  </w:num>
  <w:num w:numId="19" w16cid:durableId="548885133">
    <w:abstractNumId w:val="7"/>
  </w:num>
  <w:num w:numId="20" w16cid:durableId="1328943434">
    <w:abstractNumId w:val="29"/>
  </w:num>
  <w:num w:numId="21" w16cid:durableId="2005476165">
    <w:abstractNumId w:val="8"/>
  </w:num>
  <w:num w:numId="22" w16cid:durableId="1708993907">
    <w:abstractNumId w:val="21"/>
  </w:num>
  <w:num w:numId="23" w16cid:durableId="115636333">
    <w:abstractNumId w:val="3"/>
  </w:num>
  <w:num w:numId="24" w16cid:durableId="3360459">
    <w:abstractNumId w:val="6"/>
  </w:num>
  <w:num w:numId="25" w16cid:durableId="69349026">
    <w:abstractNumId w:val="1"/>
  </w:num>
  <w:num w:numId="26" w16cid:durableId="574900097">
    <w:abstractNumId w:val="24"/>
  </w:num>
  <w:num w:numId="27" w16cid:durableId="1116876511">
    <w:abstractNumId w:val="15"/>
  </w:num>
  <w:num w:numId="28" w16cid:durableId="1872841460">
    <w:abstractNumId w:val="5"/>
  </w:num>
  <w:num w:numId="29" w16cid:durableId="1452093278">
    <w:abstractNumId w:val="13"/>
  </w:num>
  <w:num w:numId="30" w16cid:durableId="829755470">
    <w:abstractNumId w:val="22"/>
  </w:num>
  <w:num w:numId="31" w16cid:durableId="2137598648">
    <w:abstractNumId w:val="23"/>
  </w:num>
  <w:num w:numId="32" w16cid:durableId="816068181">
    <w:abstractNumId w:val="12"/>
  </w:num>
  <w:num w:numId="33" w16cid:durableId="1255897319">
    <w:abstractNumId w:val="25"/>
  </w:num>
  <w:num w:numId="34" w16cid:durableId="606042958">
    <w:abstractNumId w:val="17"/>
  </w:num>
  <w:num w:numId="35" w16cid:durableId="1825125897">
    <w:abstractNumId w:val="10"/>
  </w:num>
  <w:num w:numId="36" w16cid:durableId="140117745">
    <w:abstractNumId w:val="11"/>
  </w:num>
  <w:num w:numId="37" w16cid:durableId="245388591">
    <w:abstractNumId w:val="23"/>
  </w:num>
  <w:num w:numId="38" w16cid:durableId="179339936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0972"/>
    <w:rsid w:val="000072F7"/>
    <w:rsid w:val="000079A4"/>
    <w:rsid w:val="000120DA"/>
    <w:rsid w:val="00012ED3"/>
    <w:rsid w:val="00012F49"/>
    <w:rsid w:val="000207D2"/>
    <w:rsid w:val="000247ED"/>
    <w:rsid w:val="00033CDD"/>
    <w:rsid w:val="00040094"/>
    <w:rsid w:val="0004042E"/>
    <w:rsid w:val="00041F19"/>
    <w:rsid w:val="0004332C"/>
    <w:rsid w:val="000530F6"/>
    <w:rsid w:val="00053D5D"/>
    <w:rsid w:val="000557AC"/>
    <w:rsid w:val="00062119"/>
    <w:rsid w:val="00064E07"/>
    <w:rsid w:val="00066C3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D32B1"/>
    <w:rsid w:val="000D7A0E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1DBE"/>
    <w:rsid w:val="0017793C"/>
    <w:rsid w:val="00183189"/>
    <w:rsid w:val="00185C8C"/>
    <w:rsid w:val="001A109C"/>
    <w:rsid w:val="001A224E"/>
    <w:rsid w:val="001A2590"/>
    <w:rsid w:val="001A688F"/>
    <w:rsid w:val="001B2890"/>
    <w:rsid w:val="001C16C9"/>
    <w:rsid w:val="001D0325"/>
    <w:rsid w:val="001D5F49"/>
    <w:rsid w:val="001E34A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43E1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095B"/>
    <w:rsid w:val="00294A06"/>
    <w:rsid w:val="00295E72"/>
    <w:rsid w:val="002A243D"/>
    <w:rsid w:val="002A3100"/>
    <w:rsid w:val="002B556C"/>
    <w:rsid w:val="002B5CAA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73C0F"/>
    <w:rsid w:val="00380079"/>
    <w:rsid w:val="00381049"/>
    <w:rsid w:val="00381997"/>
    <w:rsid w:val="003859DE"/>
    <w:rsid w:val="003931BD"/>
    <w:rsid w:val="003A051D"/>
    <w:rsid w:val="003B1F39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0711"/>
    <w:rsid w:val="0040338F"/>
    <w:rsid w:val="00404BE4"/>
    <w:rsid w:val="004169B3"/>
    <w:rsid w:val="00420AD1"/>
    <w:rsid w:val="00421416"/>
    <w:rsid w:val="00436ACB"/>
    <w:rsid w:val="004441B2"/>
    <w:rsid w:val="00453416"/>
    <w:rsid w:val="0046398C"/>
    <w:rsid w:val="004652B7"/>
    <w:rsid w:val="004667AC"/>
    <w:rsid w:val="00466FD7"/>
    <w:rsid w:val="00472F83"/>
    <w:rsid w:val="00475B78"/>
    <w:rsid w:val="00481051"/>
    <w:rsid w:val="004A1928"/>
    <w:rsid w:val="004A2368"/>
    <w:rsid w:val="004A290C"/>
    <w:rsid w:val="004A598E"/>
    <w:rsid w:val="004A6891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256DD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2D4A"/>
    <w:rsid w:val="005F59DA"/>
    <w:rsid w:val="00614F40"/>
    <w:rsid w:val="00622D1C"/>
    <w:rsid w:val="00626E48"/>
    <w:rsid w:val="00634FC5"/>
    <w:rsid w:val="006368C8"/>
    <w:rsid w:val="00641C80"/>
    <w:rsid w:val="006424FC"/>
    <w:rsid w:val="0064675F"/>
    <w:rsid w:val="00654973"/>
    <w:rsid w:val="006556BA"/>
    <w:rsid w:val="006609C4"/>
    <w:rsid w:val="006625B3"/>
    <w:rsid w:val="006626D0"/>
    <w:rsid w:val="006660E4"/>
    <w:rsid w:val="00667F6C"/>
    <w:rsid w:val="00673719"/>
    <w:rsid w:val="00677CC2"/>
    <w:rsid w:val="00680AE3"/>
    <w:rsid w:val="00682AE5"/>
    <w:rsid w:val="00692D22"/>
    <w:rsid w:val="006942A8"/>
    <w:rsid w:val="006A3040"/>
    <w:rsid w:val="006A3371"/>
    <w:rsid w:val="006A7D59"/>
    <w:rsid w:val="006A7E50"/>
    <w:rsid w:val="006B0218"/>
    <w:rsid w:val="006B0ACF"/>
    <w:rsid w:val="006B6DF9"/>
    <w:rsid w:val="006C3304"/>
    <w:rsid w:val="006C7DD8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269F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B3BAF"/>
    <w:rsid w:val="007D0A4D"/>
    <w:rsid w:val="007D427A"/>
    <w:rsid w:val="007D471B"/>
    <w:rsid w:val="007E2CA4"/>
    <w:rsid w:val="007F2BE7"/>
    <w:rsid w:val="007F4F1D"/>
    <w:rsid w:val="0080224A"/>
    <w:rsid w:val="00802650"/>
    <w:rsid w:val="00805374"/>
    <w:rsid w:val="00813119"/>
    <w:rsid w:val="00824B4C"/>
    <w:rsid w:val="00830A20"/>
    <w:rsid w:val="00835677"/>
    <w:rsid w:val="00845AEC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C7101"/>
    <w:rsid w:val="008D5589"/>
    <w:rsid w:val="008E2A65"/>
    <w:rsid w:val="008F270E"/>
    <w:rsid w:val="008F7FBA"/>
    <w:rsid w:val="009143D9"/>
    <w:rsid w:val="009210C5"/>
    <w:rsid w:val="0092464A"/>
    <w:rsid w:val="009404C8"/>
    <w:rsid w:val="009476EC"/>
    <w:rsid w:val="00950A1A"/>
    <w:rsid w:val="00953091"/>
    <w:rsid w:val="009541FD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05A9"/>
    <w:rsid w:val="009E389F"/>
    <w:rsid w:val="009E775F"/>
    <w:rsid w:val="009F4C1D"/>
    <w:rsid w:val="00A00EEF"/>
    <w:rsid w:val="00A23131"/>
    <w:rsid w:val="00A308B3"/>
    <w:rsid w:val="00A33DCE"/>
    <w:rsid w:val="00A513C7"/>
    <w:rsid w:val="00A56B44"/>
    <w:rsid w:val="00A57C84"/>
    <w:rsid w:val="00A6736D"/>
    <w:rsid w:val="00A75066"/>
    <w:rsid w:val="00A81EA5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397"/>
    <w:rsid w:val="00AE5D5A"/>
    <w:rsid w:val="00AF2923"/>
    <w:rsid w:val="00AF2F54"/>
    <w:rsid w:val="00AF6AFE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1D77"/>
    <w:rsid w:val="00B43338"/>
    <w:rsid w:val="00B46866"/>
    <w:rsid w:val="00B46F2F"/>
    <w:rsid w:val="00B54AF2"/>
    <w:rsid w:val="00B551A7"/>
    <w:rsid w:val="00B57F65"/>
    <w:rsid w:val="00B67B3C"/>
    <w:rsid w:val="00B72140"/>
    <w:rsid w:val="00B75F87"/>
    <w:rsid w:val="00B83C0A"/>
    <w:rsid w:val="00B90CD3"/>
    <w:rsid w:val="00B91BE7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0B6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637D1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E031B"/>
    <w:rsid w:val="00CF0D9F"/>
    <w:rsid w:val="00CF6881"/>
    <w:rsid w:val="00D01CA9"/>
    <w:rsid w:val="00D0379C"/>
    <w:rsid w:val="00D048E5"/>
    <w:rsid w:val="00D122BE"/>
    <w:rsid w:val="00D20956"/>
    <w:rsid w:val="00D20C84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96EB3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55596"/>
    <w:rsid w:val="00E62006"/>
    <w:rsid w:val="00E65AB5"/>
    <w:rsid w:val="00E67BC6"/>
    <w:rsid w:val="00E75B03"/>
    <w:rsid w:val="00E80EEA"/>
    <w:rsid w:val="00E8187E"/>
    <w:rsid w:val="00E90452"/>
    <w:rsid w:val="00E92142"/>
    <w:rsid w:val="00E925A0"/>
    <w:rsid w:val="00E92A10"/>
    <w:rsid w:val="00EA36BA"/>
    <w:rsid w:val="00EA4B49"/>
    <w:rsid w:val="00EA520B"/>
    <w:rsid w:val="00EA5210"/>
    <w:rsid w:val="00EA5809"/>
    <w:rsid w:val="00EA58A8"/>
    <w:rsid w:val="00EB2E60"/>
    <w:rsid w:val="00EC3C96"/>
    <w:rsid w:val="00EC3CE4"/>
    <w:rsid w:val="00F00CC1"/>
    <w:rsid w:val="00F00D31"/>
    <w:rsid w:val="00F03204"/>
    <w:rsid w:val="00F07747"/>
    <w:rsid w:val="00F07BA1"/>
    <w:rsid w:val="00F12A5E"/>
    <w:rsid w:val="00F2551E"/>
    <w:rsid w:val="00F25C60"/>
    <w:rsid w:val="00F26DBC"/>
    <w:rsid w:val="00F33D0A"/>
    <w:rsid w:val="00F34984"/>
    <w:rsid w:val="00F37885"/>
    <w:rsid w:val="00F4236B"/>
    <w:rsid w:val="00F53136"/>
    <w:rsid w:val="00F561D5"/>
    <w:rsid w:val="00F56992"/>
    <w:rsid w:val="00F6610E"/>
    <w:rsid w:val="00F66271"/>
    <w:rsid w:val="00F677A4"/>
    <w:rsid w:val="00F7115E"/>
    <w:rsid w:val="00F738A0"/>
    <w:rsid w:val="00F74097"/>
    <w:rsid w:val="00F8232F"/>
    <w:rsid w:val="00F83D57"/>
    <w:rsid w:val="00F860AD"/>
    <w:rsid w:val="00F9029E"/>
    <w:rsid w:val="00F914B8"/>
    <w:rsid w:val="00F944BE"/>
    <w:rsid w:val="00FA075F"/>
    <w:rsid w:val="00FA07ED"/>
    <w:rsid w:val="00FA1EBC"/>
    <w:rsid w:val="00FA3BB8"/>
    <w:rsid w:val="00FB06BA"/>
    <w:rsid w:val="00FB1093"/>
    <w:rsid w:val="00FB1895"/>
    <w:rsid w:val="00FB2F6A"/>
    <w:rsid w:val="00FB50B9"/>
    <w:rsid w:val="00FB66EA"/>
    <w:rsid w:val="00FC3196"/>
    <w:rsid w:val="00FC5ACD"/>
    <w:rsid w:val="00FC628B"/>
    <w:rsid w:val="00FE29EA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6B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6B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6B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6B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Parasts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Noklusjumarindkopasfonts"/>
    <w:link w:val="Mansstils"/>
    <w:rsid w:val="00381049"/>
    <w:rPr>
      <w:rFonts w:ascii="Verdana" w:hAnsi="Verdana"/>
      <w:b/>
      <w:sz w:val="20"/>
    </w:rPr>
  </w:style>
  <w:style w:type="paragraph" w:styleId="Prskatjums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879D5"/>
    <w:rPr>
      <w:b/>
      <w:bCs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0247ED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Saturs3">
    <w:name w:val="toc 3"/>
    <w:basedOn w:val="Parasts"/>
    <w:next w:val="Parasts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Bezatstarpm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  <w:style w:type="character" w:customStyle="1" w:styleId="ui-provider">
    <w:name w:val="ui-provider"/>
    <w:basedOn w:val="Noklusjumarindkopasfonts"/>
    <w:rsid w:val="00F944BE"/>
  </w:style>
  <w:style w:type="character" w:styleId="Izclums">
    <w:name w:val="Emphasis"/>
    <w:basedOn w:val="Noklusjumarindkopasfonts"/>
    <w:uiPriority w:val="20"/>
    <w:qFormat/>
    <w:rsid w:val="007E2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3R0549&amp;qid=1621510523393" TargetMode="External"/><Relationship Id="rId13" Type="http://schemas.openxmlformats.org/officeDocument/2006/relationships/hyperlink" Target="https://www.bank.lv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zm.gov.l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p.gov.lv/lv/informacijas-drosiba-un-datu-aizsardziba" TargetMode="External"/><Relationship Id="rId10" Type="http://schemas.openxmlformats.org/officeDocument/2006/relationships/hyperlink" Target="https://eur-lex.europa.eu/legal-content/LV/TXT/?uri=CELEX%3A32013R0549&amp;qid=16215105233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3632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Ilgvars Kaparkalejs</cp:lastModifiedBy>
  <cp:revision>9</cp:revision>
  <cp:lastPrinted>2021-06-21T12:16:00Z</cp:lastPrinted>
  <dcterms:created xsi:type="dcterms:W3CDTF">2024-10-17T08:47:00Z</dcterms:created>
  <dcterms:modified xsi:type="dcterms:W3CDTF">2025-06-04T14:03:00Z</dcterms:modified>
</cp:coreProperties>
</file>