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31EC5517" w:rsidR="0051672D" w:rsidRPr="00883277" w:rsidRDefault="005667E9" w:rsidP="008A257A">
      <w:pPr>
        <w:spacing w:after="12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“Pārskats par izmaksām” (</w:t>
      </w:r>
      <w:bookmarkStart w:id="0" w:name="_Hlk40879117"/>
      <w:r>
        <w:rPr>
          <w:sz w:val="26"/>
          <w:szCs w:val="26"/>
        </w:rPr>
        <w:t>1-</w:t>
      </w:r>
      <w:bookmarkEnd w:id="0"/>
      <w:r>
        <w:rPr>
          <w:sz w:val="26"/>
          <w:szCs w:val="26"/>
        </w:rPr>
        <w:t>izmaksas)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535F3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535F3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535F3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535F3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535F3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535F3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535F3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535F36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1" w:name="_Hlk38361330"/>
      <w:bookmarkStart w:id="2" w:name="_Toc70071547"/>
      <w:bookmarkEnd w:id="1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2"/>
    </w:p>
    <w:p w14:paraId="491CB7F3" w14:textId="7C3BD502" w:rsidR="005667E9" w:rsidRDefault="009404C8" w:rsidP="005667E9">
      <w:r w:rsidRPr="009404C8">
        <w:t>Pārvalde lūdz iesniegt datus, lai nodrošinātu lietotāju v</w:t>
      </w:r>
      <w:r w:rsidRPr="005667E9">
        <w:t xml:space="preserve">ajadzības, kas definētas </w:t>
      </w:r>
      <w:hyperlink r:id="rId7" w:history="1">
        <w:r w:rsidRPr="00535F36">
          <w:rPr>
            <w:rStyle w:val="Hyperlink"/>
            <w:rFonts w:cs="Verdana"/>
            <w:szCs w:val="20"/>
          </w:rPr>
          <w:t>Oficiālās statistikas programmas</w:t>
        </w:r>
      </w:hyperlink>
      <w:r w:rsidRPr="005667E9">
        <w:rPr>
          <w:color w:val="0000FF"/>
        </w:rPr>
        <w:t xml:space="preserve"> </w:t>
      </w:r>
      <w:r w:rsidRPr="005667E9">
        <w:t>pielikuma 1. punktā (Nacionālo kontu sistēma)</w:t>
      </w:r>
      <w:r w:rsidR="005667E9" w:rsidRPr="005667E9">
        <w:t xml:space="preserve"> un</w:t>
      </w:r>
      <w:bookmarkStart w:id="3" w:name="_Hlk71896607"/>
      <w:r w:rsidR="003A2518">
        <w:t xml:space="preserve"> </w:t>
      </w:r>
      <w:r w:rsidR="005667E9" w:rsidRPr="005667E9">
        <w:rPr>
          <w:szCs w:val="20"/>
        </w:rPr>
        <w:t>13. punktā (Galvenie uzņēmējdarbības gada rādītāji)</w:t>
      </w:r>
      <w:bookmarkEnd w:id="3"/>
      <w:r w:rsidRPr="005667E9">
        <w:t>.</w:t>
      </w:r>
    </w:p>
    <w:p w14:paraId="65CD52CE" w14:textId="65BCE894" w:rsidR="005667E9" w:rsidRDefault="00732206" w:rsidP="005667E9">
      <w:r>
        <w:rPr>
          <w:bCs/>
          <w:color w:val="000000"/>
          <w:szCs w:val="20"/>
        </w:rPr>
        <w:t xml:space="preserve">Ikviena </w:t>
      </w:r>
      <w:r w:rsidR="005667E9">
        <w:rPr>
          <w:bCs/>
          <w:color w:val="000000"/>
          <w:szCs w:val="20"/>
        </w:rPr>
        <w:t xml:space="preserve">uzņēmuma </w:t>
      </w:r>
      <w:r>
        <w:rPr>
          <w:bCs/>
          <w:color w:val="000000"/>
          <w:szCs w:val="20"/>
        </w:rPr>
        <w:t xml:space="preserve">sniegtie </w:t>
      </w:r>
      <w:r w:rsidR="005667E9">
        <w:rPr>
          <w:bCs/>
          <w:color w:val="000000"/>
          <w:szCs w:val="20"/>
        </w:rPr>
        <w:t xml:space="preserve">dati ir vienīgais informācijas avots </w:t>
      </w:r>
      <w:r w:rsidR="005667E9">
        <w:t>statistisko datu sagatavošanai par pirktajiem pakalpojumiem sadalījumā pa veidiem, izejvielu un materiālu krājumiem un to izlietojumu vai citām izmaiņām sadalījumā pa preču veidiem.</w:t>
      </w:r>
    </w:p>
    <w:p w14:paraId="10EE9569" w14:textId="77777777" w:rsidR="005667E9" w:rsidRDefault="005667E9" w:rsidP="005667E9">
      <w:r>
        <w:t>Izmaksu rādītāji nodrošina iekšzemes kopprodukta aprēķinus no ražošanas aspekta un piedāvājuma – izlietojuma tabulu sagatavošanu, parādot ekonomiskās saites starp dažādiem institucionālajiem sektoriem. Iegūtie kopsavilkuma dati ļauj arī noteikt vidējo svērto PVN likmi Latvijas iemaksām ES budžetā.</w:t>
      </w:r>
    </w:p>
    <w:p w14:paraId="72A32E49" w14:textId="3E5E0654" w:rsidR="00381049" w:rsidRDefault="005667E9" w:rsidP="005667E9">
      <w:pPr>
        <w:rPr>
          <w:bCs/>
          <w:color w:val="000000"/>
        </w:rPr>
      </w:pPr>
      <w:r>
        <w:t xml:space="preserve">Operatīvās nomas izmaksas ļauj novērtēt izmaiņas, kas radušās ieviešot 16. Starptautisko finanšu pārskatu standartu “Noma”, ja operatīvās nomas objekts iekļauts bilancē kā </w:t>
      </w:r>
      <w:proofErr w:type="spellStart"/>
      <w:r>
        <w:t>lietojumtiesību</w:t>
      </w:r>
      <w:proofErr w:type="spellEnd"/>
      <w:r>
        <w:t xml:space="preserve"> aktīvs. Dati par operatīvo nomu tiek prasīti tikai no uzņēmumiem, kuru pamatdarbība ir monetārā starpniecība, </w:t>
      </w:r>
      <w:r>
        <w:lastRenderedPageBreak/>
        <w:t>apdrošināšana, pensiju uzkrāšana (izņemot obligāto sociālo apdrošināšanu), fondu pārvaldīšana.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4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4"/>
    </w:p>
    <w:p w14:paraId="5DCFCEB5" w14:textId="470D5249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5667E9">
        <w:t>o</w:t>
      </w:r>
      <w:r w:rsidRPr="00C13E38">
        <w:t xml:space="preserve"> </w:t>
      </w:r>
      <w:r w:rsidR="00322F85" w:rsidRPr="00C13E38">
        <w:t>tiesību aktu:</w:t>
      </w:r>
    </w:p>
    <w:bookmarkStart w:id="5" w:name="_Hlk71357224"/>
    <w:bookmarkStart w:id="6" w:name="_Hlk71356916"/>
    <w:p w14:paraId="276BD1E0" w14:textId="6F5749AD" w:rsidR="00156802" w:rsidRDefault="005667E9" w:rsidP="008A2572">
      <w:pPr>
        <w:pStyle w:val="NoSpacing"/>
        <w:numPr>
          <w:ilvl w:val="2"/>
          <w:numId w:val="26"/>
        </w:numPr>
      </w:pPr>
      <w:r>
        <w:rPr>
          <w:lang w:eastAsia="lv-LV"/>
        </w:rPr>
        <w:fldChar w:fldCharType="begin"/>
      </w:r>
      <w:r>
        <w:rPr>
          <w:lang w:eastAsia="lv-LV"/>
        </w:rPr>
        <w:instrText xml:space="preserve"> HYPERLINK "https://eur-lex.europa.eu/legal-content/LV/TXT/?uri=CELEX%3A32013R0549&amp;qid=1620994456146" </w:instrText>
      </w:r>
      <w:r>
        <w:rPr>
          <w:lang w:eastAsia="lv-LV"/>
        </w:rPr>
      </w:r>
      <w:r>
        <w:rPr>
          <w:lang w:eastAsia="lv-LV"/>
        </w:rPr>
        <w:fldChar w:fldCharType="separate"/>
      </w:r>
      <w:r w:rsidRPr="005667E9">
        <w:rPr>
          <w:rStyle w:val="Hyperlink"/>
          <w:lang w:eastAsia="lv-LV"/>
        </w:rPr>
        <w:t>Eiropas Parlamenta un Padomes 2013. gada 21. maija Regul</w:t>
      </w:r>
      <w:r w:rsidR="00D147C1">
        <w:rPr>
          <w:rStyle w:val="Hyperlink"/>
          <w:lang w:eastAsia="lv-LV"/>
        </w:rPr>
        <w:t>u</w:t>
      </w:r>
      <w:r w:rsidRPr="005667E9">
        <w:rPr>
          <w:rStyle w:val="Hyperlink"/>
          <w:lang w:eastAsia="lv-LV"/>
        </w:rPr>
        <w:t xml:space="preserve"> (ES) Nr. 549/2013</w:t>
      </w:r>
      <w:r>
        <w:rPr>
          <w:lang w:eastAsia="lv-LV"/>
        </w:rPr>
        <w:fldChar w:fldCharType="end"/>
      </w:r>
      <w:r>
        <w:rPr>
          <w:lang w:eastAsia="lv-LV"/>
        </w:rPr>
        <w:t xml:space="preserve"> par Eiropas nacionālo un reģionālo kontu sistēmu Eiropas Savienībā (Dokuments attiecas uz EEZ)</w:t>
      </w:r>
      <w:bookmarkEnd w:id="5"/>
      <w:r>
        <w:rPr>
          <w:lang w:eastAsia="lv-LV"/>
        </w:rPr>
        <w:t>.</w:t>
      </w:r>
      <w:bookmarkEnd w:id="6"/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7" w:name="_Toc70071549"/>
      <w:r>
        <w:t>Kur ir noteikts p</w:t>
      </w:r>
      <w:r w:rsidR="00E47D56" w:rsidRPr="00F37885">
        <w:t>ienākums iesniegt datus</w:t>
      </w:r>
      <w:r>
        <w:t>?</w:t>
      </w:r>
      <w:bookmarkEnd w:id="7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8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8"/>
    </w:p>
    <w:p w14:paraId="584FBD34" w14:textId="437931DB" w:rsidR="00381049" w:rsidRDefault="005667E9" w:rsidP="00F914B8">
      <w:pPr>
        <w:pStyle w:val="NoSpacing"/>
        <w:numPr>
          <w:ilvl w:val="0"/>
          <w:numId w:val="0"/>
        </w:numPr>
        <w:ind w:left="1134"/>
      </w:pPr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9" w:name="_Toc70071551"/>
      <w:r>
        <w:t>Kam ir jāiesniedz dati?</w:t>
      </w:r>
      <w:bookmarkEnd w:id="9"/>
    </w:p>
    <w:p w14:paraId="47F6D5F1" w14:textId="77777777" w:rsidR="005667E9" w:rsidRDefault="005667E9" w:rsidP="005667E9">
      <w:r>
        <w:t>Apsekojumā iekļauj:</w:t>
      </w:r>
    </w:p>
    <w:p w14:paraId="637A571D" w14:textId="7E01AAAE" w:rsidR="005667E9" w:rsidRDefault="005667E9" w:rsidP="005667E9">
      <w:pPr>
        <w:pStyle w:val="NoSpacing"/>
      </w:pPr>
      <w:r>
        <w:t>uzņēmumus, kuru izmaksu kopsumma par pakalpojumiem, izejvielām un materiālu krājumiem veido 45% un vairāk no nozares (atbilstoši Saimniecisko darbību statistiskās klasifikācijas NACE grupai, NACE 3-zīmēm) izmaksām;</w:t>
      </w:r>
    </w:p>
    <w:p w14:paraId="676CE832" w14:textId="77777777" w:rsidR="005667E9" w:rsidRDefault="005667E9" w:rsidP="005667E9">
      <w:pPr>
        <w:pStyle w:val="NoSpacing"/>
      </w:pPr>
      <w:r>
        <w:t>finanšu iestādes;</w:t>
      </w:r>
    </w:p>
    <w:p w14:paraId="5814BF3F" w14:textId="77777777" w:rsidR="005667E9" w:rsidRDefault="005667E9" w:rsidP="005667E9">
      <w:pPr>
        <w:pStyle w:val="NoSpacing"/>
      </w:pPr>
      <w:r>
        <w:t>visas valsts un pašvaldību budžeta iestādes;</w:t>
      </w:r>
    </w:p>
    <w:p w14:paraId="71539DD3" w14:textId="48ACFB2A" w:rsidR="00D20956" w:rsidRPr="005C5969" w:rsidRDefault="005667E9" w:rsidP="005667E9">
      <w:pPr>
        <w:pStyle w:val="NoSpacing"/>
      </w:pPr>
      <w:r>
        <w:t xml:space="preserve">fondus, nodibinājumus un </w:t>
      </w:r>
      <w:r w:rsidRPr="005C5969">
        <w:t>biedrības</w:t>
      </w:r>
      <w:r w:rsidR="005C5969" w:rsidRPr="005C5969">
        <w:t>.</w:t>
      </w:r>
    </w:p>
    <w:p w14:paraId="7E94E913" w14:textId="77777777" w:rsidR="00E97E1E" w:rsidRDefault="00F33D0A" w:rsidP="004652B7">
      <w:r w:rsidRPr="009E389F">
        <w:t xml:space="preserve">Izlases izveidošanas </w:t>
      </w:r>
      <w:r>
        <w:t>standarts</w:t>
      </w:r>
      <w:r w:rsidRPr="009E389F">
        <w:t>:</w:t>
      </w:r>
    </w:p>
    <w:p w14:paraId="60F4269A" w14:textId="002A33FC" w:rsidR="00F33D0A" w:rsidRDefault="00535F36" w:rsidP="00E97E1E">
      <w:pPr>
        <w:pStyle w:val="NoSpacing"/>
        <w:rPr>
          <w:rFonts w:eastAsia="Times New Roman"/>
        </w:rPr>
      </w:pPr>
      <w:hyperlink r:id="rId9" w:history="1">
        <w:r w:rsidR="00396250" w:rsidRPr="00E97E1E">
          <w:rPr>
            <w:rStyle w:val="Hyperlink"/>
          </w:rPr>
          <w:t>Eiropas Parlamenta un Padomes 2013. gada 21. maija Regulas (ES) Nr.</w:t>
        </w:r>
        <w:r w:rsidR="00B207E5">
          <w:rPr>
            <w:rStyle w:val="Hyperlink"/>
          </w:rPr>
          <w:t> </w:t>
        </w:r>
        <w:r w:rsidR="00396250" w:rsidRPr="00E97E1E">
          <w:rPr>
            <w:rStyle w:val="Hyperlink"/>
          </w:rPr>
          <w:t>549/2013</w:t>
        </w:r>
      </w:hyperlink>
      <w:r w:rsidR="00396250" w:rsidRPr="005261B5">
        <w:t xml:space="preserve"> par </w:t>
      </w:r>
      <w:r w:rsidR="00396250" w:rsidRPr="005261B5">
        <w:rPr>
          <w:rFonts w:eastAsia="Times New Roman"/>
        </w:rPr>
        <w:t xml:space="preserve">Eiropas nacionālo un reģionālo kontu sistēmu Eiropas Savienībā </w:t>
      </w:r>
      <w:r w:rsidR="005C6756">
        <w:rPr>
          <w:rFonts w:eastAsia="Times New Roman"/>
        </w:rPr>
        <w:t>2</w:t>
      </w:r>
      <w:r w:rsidR="00396250">
        <w:rPr>
          <w:rFonts w:eastAsia="Times New Roman"/>
        </w:rPr>
        <w:t xml:space="preserve">. pants, kā arī </w:t>
      </w:r>
      <w:r w:rsidR="00396250" w:rsidRPr="005261B5">
        <w:rPr>
          <w:rFonts w:eastAsia="Times New Roman"/>
        </w:rPr>
        <w:t xml:space="preserve">A </w:t>
      </w:r>
      <w:r w:rsidR="00CD6F8A">
        <w:rPr>
          <w:rFonts w:eastAsia="Times New Roman"/>
        </w:rPr>
        <w:t xml:space="preserve">un B </w:t>
      </w:r>
      <w:r w:rsidR="00396250" w:rsidRPr="005261B5">
        <w:rPr>
          <w:rFonts w:eastAsia="Times New Roman"/>
        </w:rPr>
        <w:t>pielikum</w:t>
      </w:r>
      <w:r w:rsidR="00CD6F8A">
        <w:rPr>
          <w:rFonts w:eastAsia="Times New Roman"/>
        </w:rPr>
        <w:t>i</w:t>
      </w:r>
      <w:r w:rsidR="00E97E1E">
        <w:rPr>
          <w:rFonts w:eastAsia="Times New Roman"/>
        </w:rPr>
        <w:t>;</w:t>
      </w:r>
    </w:p>
    <w:bookmarkStart w:id="10" w:name="_Hlk74160520"/>
    <w:p w14:paraId="1E5089F2" w14:textId="77777777" w:rsidR="00E97E1E" w:rsidRDefault="00E97E1E" w:rsidP="00E97E1E">
      <w:pPr>
        <w:pStyle w:val="NoSpacing"/>
      </w:pPr>
      <w:r>
        <w:fldChar w:fldCharType="begin"/>
      </w:r>
      <w:r>
        <w:instrText xml:space="preserve"> HYPERLINK "https://likumi.lv/ta/id/287576-oficialas-statistikas-veidlapu-paraugu-apstiprinasanas-un-veidlapu-aizpildisanas-un-iesniegsanas-noteikumi" </w:instrText>
      </w:r>
      <w:r>
        <w:fldChar w:fldCharType="separate"/>
      </w:r>
      <w:r w:rsidRPr="00A611D9">
        <w:rPr>
          <w:rStyle w:val="Hyperlink"/>
        </w:rPr>
        <w:t>Ministru kabineta 2016. gada 20. decembra noteikumi Nr. 812</w:t>
      </w:r>
      <w:r>
        <w:rPr>
          <w:rStyle w:val="Hyperlink"/>
        </w:rPr>
        <w:fldChar w:fldCharType="end"/>
      </w:r>
      <w:r w:rsidRPr="00A611D9">
        <w:t xml:space="preserve"> ”Oficiālās statistikas veidlapu paraugu apstiprināšanas un veidlapu aizpildīšanas un iesniegšanas noteikumi”.</w:t>
      </w:r>
      <w:bookmarkEnd w:id="10"/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11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11"/>
    </w:p>
    <w:p w14:paraId="1C9F864F" w14:textId="39FBDF88" w:rsidR="005667E9" w:rsidRDefault="005667E9" w:rsidP="005667E9">
      <w:pPr>
        <w:pStyle w:val="NoSpacing"/>
      </w:pPr>
      <w:bookmarkStart w:id="12" w:name="_Toc40698654"/>
      <w:r w:rsidRPr="005667E9">
        <w:t>Oficiālās statistikas portālā:</w:t>
      </w:r>
    </w:p>
    <w:p w14:paraId="0EBB2AEB" w14:textId="547D749F" w:rsidR="00B207E5" w:rsidRPr="00B207E5" w:rsidRDefault="00535F36" w:rsidP="00B207E5">
      <w:pPr>
        <w:pStyle w:val="NoSpacing"/>
        <w:numPr>
          <w:ilvl w:val="1"/>
          <w:numId w:val="3"/>
        </w:numPr>
      </w:pPr>
      <w:hyperlink r:id="rId10" w:history="1">
        <w:r w:rsidR="00B207E5" w:rsidRPr="00B207E5">
          <w:rPr>
            <w:rStyle w:val="Hyperlink"/>
          </w:rPr>
          <w:t xml:space="preserve">Piedāvājuma-izlietojuma un </w:t>
        </w:r>
        <w:proofErr w:type="spellStart"/>
        <w:r w:rsidR="00B207E5" w:rsidRPr="00B207E5">
          <w:rPr>
            <w:rStyle w:val="Hyperlink"/>
          </w:rPr>
          <w:t>ielaides</w:t>
        </w:r>
        <w:proofErr w:type="spellEnd"/>
        <w:r w:rsidR="00B207E5" w:rsidRPr="00B207E5">
          <w:rPr>
            <w:rStyle w:val="Hyperlink"/>
          </w:rPr>
          <w:t>-izlaides tabulas</w:t>
        </w:r>
      </w:hyperlink>
    </w:p>
    <w:p w14:paraId="2EF03EEB" w14:textId="77777777" w:rsidR="005667E9" w:rsidRPr="005667E9" w:rsidRDefault="00535F36" w:rsidP="005667E9">
      <w:pPr>
        <w:pStyle w:val="NoSpacing"/>
        <w:numPr>
          <w:ilvl w:val="1"/>
          <w:numId w:val="3"/>
        </w:numPr>
      </w:pPr>
      <w:hyperlink r:id="rId11" w:history="1">
        <w:r w:rsidR="005667E9" w:rsidRPr="005667E9">
          <w:rPr>
            <w:rStyle w:val="Hyperlink"/>
            <w:bCs/>
          </w:rPr>
          <w:t>Iekšzemes kopprodukts pavisam, uz vienu iedzīvotāju un uz vienu nodarbināto</w:t>
        </w:r>
      </w:hyperlink>
    </w:p>
    <w:p w14:paraId="438F1029" w14:textId="51AA9C61" w:rsidR="00381049" w:rsidRPr="00F914B8" w:rsidRDefault="00535F36" w:rsidP="005667E9">
      <w:pPr>
        <w:pStyle w:val="NoSpacing"/>
        <w:numPr>
          <w:ilvl w:val="1"/>
          <w:numId w:val="3"/>
        </w:numPr>
        <w:rPr>
          <w:rStyle w:val="Hyperlink"/>
          <w:rFonts w:cs="Times New Roman"/>
          <w:color w:val="auto"/>
          <w:szCs w:val="20"/>
        </w:rPr>
      </w:pPr>
      <w:hyperlink r:id="rId12" w:history="1">
        <w:r w:rsidR="005667E9" w:rsidRPr="005667E9">
          <w:rPr>
            <w:rStyle w:val="Hyperlink"/>
            <w:bCs/>
          </w:rPr>
          <w:t>Iekšzemes kopprodukts no ražošanas aspekta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3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2"/>
      <w:r>
        <w:t>?</w:t>
      </w:r>
      <w:bookmarkEnd w:id="13"/>
    </w:p>
    <w:p w14:paraId="600962F6" w14:textId="77777777" w:rsidR="005667E9" w:rsidRDefault="00535F36" w:rsidP="005667E9">
      <w:pPr>
        <w:pStyle w:val="NoSpacing"/>
        <w:rPr>
          <w:rFonts w:cs="Times New Roman"/>
          <w:color w:val="000000" w:themeColor="text1"/>
          <w:u w:val="single"/>
        </w:rPr>
      </w:pPr>
      <w:hyperlink r:id="rId13" w:history="1">
        <w:r w:rsidR="005667E9">
          <w:rPr>
            <w:rStyle w:val="Hyperlink"/>
          </w:rPr>
          <w:t>Ekonomikas ministrija</w:t>
        </w:r>
      </w:hyperlink>
    </w:p>
    <w:p w14:paraId="63265DB8" w14:textId="77777777" w:rsidR="005667E9" w:rsidRDefault="00535F36" w:rsidP="005667E9">
      <w:pPr>
        <w:pStyle w:val="NoSpacing"/>
        <w:rPr>
          <w:rFonts w:cs="Times New Roman"/>
          <w:color w:val="0070C0"/>
          <w:u w:val="single"/>
        </w:rPr>
      </w:pPr>
      <w:hyperlink r:id="rId14" w:history="1">
        <w:r w:rsidR="005667E9">
          <w:rPr>
            <w:rStyle w:val="Hyperlink"/>
          </w:rPr>
          <w:t>Latvijas Banka</w:t>
        </w:r>
      </w:hyperlink>
    </w:p>
    <w:p w14:paraId="51E65155" w14:textId="4ECB7419" w:rsidR="005667E9" w:rsidRDefault="005667E9" w:rsidP="005667E9">
      <w:pPr>
        <w:pStyle w:val="NoSpacing"/>
        <w:rPr>
          <w:rFonts w:cs="Times New Roman"/>
          <w:color w:val="000000" w:themeColor="text1"/>
          <w:u w:val="single"/>
        </w:rPr>
      </w:pPr>
      <w:r>
        <w:t>Ekonomiskās sadarbības un attīstības organizācija (</w:t>
      </w:r>
      <w:hyperlink r:id="rId15" w:history="1">
        <w:r>
          <w:rPr>
            <w:rStyle w:val="Hyperlink"/>
          </w:rPr>
          <w:t>OECD</w:t>
        </w:r>
      </w:hyperlink>
      <w:r>
        <w:t>)</w:t>
      </w:r>
    </w:p>
    <w:p w14:paraId="0BCAFC87" w14:textId="77777777" w:rsidR="005667E9" w:rsidRDefault="005667E9" w:rsidP="005667E9">
      <w:pPr>
        <w:pStyle w:val="NoSpacing"/>
        <w:rPr>
          <w:rFonts w:cs="Times New Roman"/>
          <w:color w:val="000000" w:themeColor="text1"/>
          <w:u w:val="single"/>
        </w:rPr>
      </w:pPr>
      <w:r>
        <w:t>Eiropas Centrālā banka (</w:t>
      </w:r>
      <w:hyperlink r:id="rId16" w:history="1">
        <w:r>
          <w:rPr>
            <w:rStyle w:val="Hyperlink"/>
          </w:rPr>
          <w:t>ECB</w:t>
        </w:r>
      </w:hyperlink>
      <w:r>
        <w:t>)</w:t>
      </w:r>
    </w:p>
    <w:p w14:paraId="3CB4F6A1" w14:textId="20D2B737" w:rsidR="00381049" w:rsidRPr="005667E9" w:rsidRDefault="005667E9" w:rsidP="005667E9">
      <w:pPr>
        <w:pStyle w:val="NoSpacing"/>
        <w:rPr>
          <w:rFonts w:cs="Times New Roman"/>
          <w:color w:val="000000" w:themeColor="text1"/>
          <w:u w:val="single"/>
        </w:rPr>
      </w:pPr>
      <w:r>
        <w:t>Starptautiskais Valūtas fonds (</w:t>
      </w:r>
      <w:hyperlink r:id="rId17" w:history="1">
        <w:r>
          <w:rPr>
            <w:rStyle w:val="Hyperlink"/>
          </w:rPr>
          <w:t>IMF</w:t>
        </w:r>
      </w:hyperlink>
      <w: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4" w:name="_Toc70071554"/>
      <w:r>
        <w:t>Vai Pārvalde ievēro d</w:t>
      </w:r>
      <w:r w:rsidR="00CB2A49" w:rsidRPr="00C13E38">
        <w:t>atu konfidencialitāt</w:t>
      </w:r>
      <w:r>
        <w:t>i?</w:t>
      </w:r>
      <w:bookmarkEnd w:id="14"/>
    </w:p>
    <w:p w14:paraId="198A0E48" w14:textId="1B6097FD" w:rsidR="00326423" w:rsidRPr="00C13E38" w:rsidRDefault="00BC271B" w:rsidP="003B371D">
      <w:pPr>
        <w:pStyle w:val="ListParagraph"/>
        <w:ind w:left="1134"/>
      </w:pPr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326423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A513C7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5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5"/>
    </w:p>
    <w:p w14:paraId="02F83123" w14:textId="2BD9BFE9" w:rsidR="00B96FA5" w:rsidRDefault="00B96FA5" w:rsidP="008A257A">
      <w:pPr>
        <w:rPr>
          <w:rFonts w:cs="Times New Roman"/>
        </w:rPr>
      </w:pPr>
      <w:r>
        <w:rPr>
          <w:rFonts w:cs="Times New Roman"/>
        </w:rPr>
        <w:t xml:space="preserve">Pārvalde ievēro </w:t>
      </w:r>
      <w:r w:rsidRPr="00B96FA5">
        <w:rPr>
          <w:rFonts w:cs="Times New Roman"/>
        </w:rPr>
        <w:t>Vispārējo datu aizsardzības regulu</w:t>
      </w:r>
      <w:r>
        <w:rPr>
          <w:rFonts w:cs="Times New Roman"/>
        </w:rPr>
        <w:t>.</w:t>
      </w:r>
    </w:p>
    <w:p w14:paraId="4BF34D59" w14:textId="34DF934D" w:rsidR="00C13E38" w:rsidRPr="00330A7E" w:rsidRDefault="00E27FF0" w:rsidP="008A257A">
      <w:pPr>
        <w:rPr>
          <w:rFonts w:cs="Times New Roman"/>
        </w:rPr>
      </w:pPr>
      <w:r>
        <w:rPr>
          <w:rFonts w:cs="Times New Roman"/>
        </w:rPr>
        <w:t>Pārvalde</w:t>
      </w:r>
      <w:r w:rsidR="00224592" w:rsidRPr="00C13E38">
        <w:rPr>
          <w:rFonts w:cs="Times New Roman"/>
        </w:rPr>
        <w:t xml:space="preserve"> piepras</w:t>
      </w:r>
      <w:r>
        <w:rPr>
          <w:rFonts w:cs="Times New Roman"/>
        </w:rPr>
        <w:t>a</w:t>
      </w:r>
      <w:r w:rsidR="00AB7715">
        <w:rPr>
          <w:rFonts w:cs="Times New Roman"/>
        </w:rPr>
        <w:t xml:space="preserve"> un apstrādā</w:t>
      </w:r>
      <w:r w:rsidR="00224592" w:rsidRPr="00C13E38">
        <w:rPr>
          <w:rFonts w:cs="Times New Roman"/>
        </w:rPr>
        <w:t xml:space="preserve"> datus saskaņā </w:t>
      </w:r>
      <w:r w:rsidR="00224592" w:rsidRPr="00C2402B">
        <w:rPr>
          <w:rFonts w:cs="Times New Roman"/>
          <w:szCs w:val="20"/>
        </w:rPr>
        <w:t xml:space="preserve">ar </w:t>
      </w:r>
      <w:hyperlink r:id="rId18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rFonts w:cs="Times New Roman"/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rFonts w:cs="Times New Roman"/>
          <w:sz w:val="24"/>
          <w:szCs w:val="24"/>
        </w:rPr>
        <w:t xml:space="preserve"> </w:t>
      </w:r>
      <w:r w:rsidR="00953091" w:rsidRPr="00330A7E">
        <w:rPr>
          <w:rFonts w:cs="Times New Roman"/>
        </w:rPr>
        <w:t>6. panta 1. punkta</w:t>
      </w:r>
      <w:r w:rsidR="00453416">
        <w:rPr>
          <w:rFonts w:cs="Times New Roman"/>
        </w:rPr>
        <w:t xml:space="preserve"> </w:t>
      </w:r>
      <w:r w:rsidR="00453416" w:rsidRPr="000557AC">
        <w:rPr>
          <w:rFonts w:cs="Times New Roman"/>
        </w:rPr>
        <w:t>c) un</w:t>
      </w:r>
      <w:r w:rsidR="00953091" w:rsidRPr="00330A7E">
        <w:rPr>
          <w:rFonts w:cs="Times New Roman"/>
        </w:rPr>
        <w:t xml:space="preserve"> e) apakšpunktu un 89. panta 1. un 2. punktu</w:t>
      </w:r>
      <w:r w:rsidR="00AB7715" w:rsidRPr="00330A7E">
        <w:rPr>
          <w:rFonts w:cs="Times New Roman"/>
        </w:rPr>
        <w:t xml:space="preserve"> normatīvajos aktos noteikto uzdevumu</w:t>
      </w:r>
      <w:r w:rsidR="00B46F2F" w:rsidRPr="00330A7E">
        <w:rPr>
          <w:rFonts w:cs="Times New Roman"/>
        </w:rPr>
        <w:t xml:space="preserve"> </w:t>
      </w:r>
      <w:r w:rsidR="00B46F2F" w:rsidRPr="001A109C">
        <w:rPr>
          <w:rFonts w:cs="Times New Roman"/>
        </w:rPr>
        <w:t>izpildei</w:t>
      </w:r>
      <w:r w:rsidR="00E67BC6" w:rsidRPr="001A109C">
        <w:rPr>
          <w:rFonts w:cs="Times New Roman"/>
        </w:rPr>
        <w:t xml:space="preserve"> vai sabiedrības interesēs.</w:t>
      </w:r>
    </w:p>
    <w:p w14:paraId="70603B09" w14:textId="30323857" w:rsidR="003931BD" w:rsidRPr="00C2402B" w:rsidRDefault="00E015E5" w:rsidP="00A513C7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9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34" type="#_x0000_t75" style="width:1in;height:71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E6B5A7F"/>
    <w:multiLevelType w:val="hybridMultilevel"/>
    <w:tmpl w:val="95E88260"/>
    <w:lvl w:ilvl="0" w:tplc="1346CB9C">
      <w:numFmt w:val="bullet"/>
      <w:lvlText w:val=""/>
      <w:lvlJc w:val="left"/>
      <w:pPr>
        <w:ind w:left="206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8D06CC"/>
    <w:multiLevelType w:val="hybridMultilevel"/>
    <w:tmpl w:val="EEA03162"/>
    <w:lvl w:ilvl="0" w:tplc="C80851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847888"/>
    <w:multiLevelType w:val="hybridMultilevel"/>
    <w:tmpl w:val="402EA4E0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520"/>
    <w:multiLevelType w:val="hybridMultilevel"/>
    <w:tmpl w:val="F5A4520E"/>
    <w:lvl w:ilvl="0" w:tplc="BB76506C">
      <w:numFmt w:val="bullet"/>
      <w:lvlText w:val=""/>
      <w:lvlJc w:val="left"/>
      <w:pPr>
        <w:ind w:left="2345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0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5661278">
    <w:abstractNumId w:val="16"/>
  </w:num>
  <w:num w:numId="2" w16cid:durableId="1737045425">
    <w:abstractNumId w:val="29"/>
  </w:num>
  <w:num w:numId="3" w16cid:durableId="1211919725">
    <w:abstractNumId w:val="20"/>
  </w:num>
  <w:num w:numId="4" w16cid:durableId="1861124094">
    <w:abstractNumId w:val="21"/>
  </w:num>
  <w:num w:numId="5" w16cid:durableId="1463381518">
    <w:abstractNumId w:val="30"/>
  </w:num>
  <w:num w:numId="6" w16cid:durableId="1304312753">
    <w:abstractNumId w:val="28"/>
  </w:num>
  <w:num w:numId="7" w16cid:durableId="1643656699">
    <w:abstractNumId w:val="16"/>
  </w:num>
  <w:num w:numId="8" w16cid:durableId="781145379">
    <w:abstractNumId w:val="16"/>
  </w:num>
  <w:num w:numId="9" w16cid:durableId="678897351">
    <w:abstractNumId w:val="16"/>
  </w:num>
  <w:num w:numId="10" w16cid:durableId="651183099">
    <w:abstractNumId w:val="16"/>
  </w:num>
  <w:num w:numId="11" w16cid:durableId="1381705249">
    <w:abstractNumId w:val="0"/>
  </w:num>
  <w:num w:numId="12" w16cid:durableId="1231817539">
    <w:abstractNumId w:val="20"/>
  </w:num>
  <w:num w:numId="13" w16cid:durableId="1158881990">
    <w:abstractNumId w:val="10"/>
  </w:num>
  <w:num w:numId="14" w16cid:durableId="2082291691">
    <w:abstractNumId w:val="5"/>
  </w:num>
  <w:num w:numId="15" w16cid:durableId="184448731">
    <w:abstractNumId w:val="18"/>
  </w:num>
  <w:num w:numId="16" w16cid:durableId="586233987">
    <w:abstractNumId w:val="2"/>
  </w:num>
  <w:num w:numId="17" w16cid:durableId="1810827789">
    <w:abstractNumId w:val="21"/>
  </w:num>
  <w:num w:numId="18" w16cid:durableId="74598967">
    <w:abstractNumId w:val="21"/>
  </w:num>
  <w:num w:numId="19" w16cid:durableId="519248474">
    <w:abstractNumId w:val="8"/>
  </w:num>
  <w:num w:numId="20" w16cid:durableId="2136294117">
    <w:abstractNumId w:val="31"/>
  </w:num>
  <w:num w:numId="21" w16cid:durableId="85345723">
    <w:abstractNumId w:val="9"/>
  </w:num>
  <w:num w:numId="22" w16cid:durableId="319119415">
    <w:abstractNumId w:val="22"/>
  </w:num>
  <w:num w:numId="23" w16cid:durableId="1044871610">
    <w:abstractNumId w:val="3"/>
  </w:num>
  <w:num w:numId="24" w16cid:durableId="1135414659">
    <w:abstractNumId w:val="7"/>
  </w:num>
  <w:num w:numId="25" w16cid:durableId="925194153">
    <w:abstractNumId w:val="1"/>
  </w:num>
  <w:num w:numId="26" w16cid:durableId="456611095">
    <w:abstractNumId w:val="26"/>
  </w:num>
  <w:num w:numId="27" w16cid:durableId="1658343558">
    <w:abstractNumId w:val="17"/>
  </w:num>
  <w:num w:numId="28" w16cid:durableId="1963611162">
    <w:abstractNumId w:val="6"/>
  </w:num>
  <w:num w:numId="29" w16cid:durableId="1122531697">
    <w:abstractNumId w:val="15"/>
  </w:num>
  <w:num w:numId="30" w16cid:durableId="177280099">
    <w:abstractNumId w:val="23"/>
  </w:num>
  <w:num w:numId="31" w16cid:durableId="363677935">
    <w:abstractNumId w:val="24"/>
  </w:num>
  <w:num w:numId="32" w16cid:durableId="1647976035">
    <w:abstractNumId w:val="13"/>
  </w:num>
  <w:num w:numId="33" w16cid:durableId="1922789127">
    <w:abstractNumId w:val="27"/>
  </w:num>
  <w:num w:numId="34" w16cid:durableId="701177150">
    <w:abstractNumId w:val="19"/>
  </w:num>
  <w:num w:numId="35" w16cid:durableId="535698524">
    <w:abstractNumId w:val="11"/>
  </w:num>
  <w:num w:numId="36" w16cid:durableId="2004775774">
    <w:abstractNumId w:val="12"/>
  </w:num>
  <w:num w:numId="37" w16cid:durableId="144588833">
    <w:abstractNumId w:val="14"/>
  </w:num>
  <w:num w:numId="38" w16cid:durableId="1483962806">
    <w:abstractNumId w:val="4"/>
  </w:num>
  <w:num w:numId="39" w16cid:durableId="1518481">
    <w:abstractNumId w:val="25"/>
  </w:num>
  <w:num w:numId="40" w16cid:durableId="2055888496">
    <w:abstractNumId w:val="14"/>
  </w:num>
  <w:num w:numId="41" w16cid:durableId="1784032353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4A52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B25FD"/>
    <w:rsid w:val="001C16C9"/>
    <w:rsid w:val="001D0325"/>
    <w:rsid w:val="001D4D84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54E1B"/>
    <w:rsid w:val="002643FB"/>
    <w:rsid w:val="00266B52"/>
    <w:rsid w:val="00272D5E"/>
    <w:rsid w:val="00277A94"/>
    <w:rsid w:val="00281536"/>
    <w:rsid w:val="00282480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96250"/>
    <w:rsid w:val="003A051D"/>
    <w:rsid w:val="003A2518"/>
    <w:rsid w:val="003B371D"/>
    <w:rsid w:val="003B67AC"/>
    <w:rsid w:val="003C75AA"/>
    <w:rsid w:val="003D3C83"/>
    <w:rsid w:val="003D4A22"/>
    <w:rsid w:val="003E60C7"/>
    <w:rsid w:val="003E711F"/>
    <w:rsid w:val="003F0302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2A9D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5F36"/>
    <w:rsid w:val="00537B76"/>
    <w:rsid w:val="00542128"/>
    <w:rsid w:val="005472C0"/>
    <w:rsid w:val="00556A08"/>
    <w:rsid w:val="00565652"/>
    <w:rsid w:val="005667E9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5969"/>
    <w:rsid w:val="005C6756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2206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15289"/>
    <w:rsid w:val="00824B4C"/>
    <w:rsid w:val="00830A20"/>
    <w:rsid w:val="00835677"/>
    <w:rsid w:val="0084776C"/>
    <w:rsid w:val="008550CE"/>
    <w:rsid w:val="00856E94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2DFB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07E5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627AC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1642"/>
    <w:rsid w:val="00CB2A49"/>
    <w:rsid w:val="00CC5AA1"/>
    <w:rsid w:val="00CD6491"/>
    <w:rsid w:val="00CD6F8A"/>
    <w:rsid w:val="00CF6881"/>
    <w:rsid w:val="00D01CA9"/>
    <w:rsid w:val="00D0379C"/>
    <w:rsid w:val="00D048E5"/>
    <w:rsid w:val="00D122BE"/>
    <w:rsid w:val="00D147C1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850CD"/>
    <w:rsid w:val="00DC7EFA"/>
    <w:rsid w:val="00DD1659"/>
    <w:rsid w:val="00DD419F"/>
    <w:rsid w:val="00DE3214"/>
    <w:rsid w:val="00DE5E73"/>
    <w:rsid w:val="00DF482E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97E1E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www.em.gov.lv/lv/nozares-politika" TargetMode="External"/><Relationship Id="rId18" Type="http://schemas.openxmlformats.org/officeDocument/2006/relationships/hyperlink" Target="https://eur-lex.europa.eu/legal-content/LV/TXT/?uri=celex%3A32016R067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valsts-ekonomika/ikp-gada/tabulas/ikp020-iekszemes-kopprodukts-no-razosanas?themeCode=IK" TargetMode="External"/><Relationship Id="rId17" Type="http://schemas.openxmlformats.org/officeDocument/2006/relationships/hyperlink" Target="https://www.imf.org/en/Da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cb.europa.eu/stats/html/index.en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valsts-ekonomika/ikp-gada/tabulas/ikp010-iekszemes-kopprodukts-pavisam-uz-vienu?themeCode=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ta.oecd.org/" TargetMode="External"/><Relationship Id="rId10" Type="http://schemas.openxmlformats.org/officeDocument/2006/relationships/hyperlink" Target="https://stat.gov.lv/lv/statistikas-temas/valsts-ekonomika/ikp-gada/cits/2408-piedavajuma-izlietojuma-un-ielaides-izlaides?themeCode=IK" TargetMode="External"/><Relationship Id="rId19" Type="http://schemas.openxmlformats.org/officeDocument/2006/relationships/hyperlink" Target="https://www.csp.gov.lv/lv/informacijas-drosiba-un-datu-aizsardz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13R0549&amp;qid=1620994456146" TargetMode="External"/><Relationship Id="rId14" Type="http://schemas.openxmlformats.org/officeDocument/2006/relationships/hyperlink" Target="https://www.bank.l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4525</Words>
  <Characters>2580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12</cp:revision>
  <cp:lastPrinted>2023-03-16T12:45:00Z</cp:lastPrinted>
  <dcterms:created xsi:type="dcterms:W3CDTF">2022-01-06T13:26:00Z</dcterms:created>
  <dcterms:modified xsi:type="dcterms:W3CDTF">2024-12-13T12:48:00Z</dcterms:modified>
</cp:coreProperties>
</file>