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708B0805" w:rsidR="0051672D" w:rsidRPr="00883277" w:rsidRDefault="00527D02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</w:t>
      </w:r>
      <w:r>
        <w:rPr>
          <w:rFonts w:cs="Calibri"/>
          <w:bCs/>
          <w:sz w:val="26"/>
          <w:szCs w:val="26"/>
        </w:rPr>
        <w:t>Pārskats par puķkopību un stādu audzēšanu</w:t>
      </w:r>
      <w:r>
        <w:rPr>
          <w:rFonts w:cs="Open Sans"/>
          <w:sz w:val="26"/>
          <w:szCs w:val="26"/>
        </w:rPr>
        <w:t>” (1-puķes un stādi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037B8FB" w14:textId="0734902C" w:rsidR="00EE6C1C" w:rsidRPr="00EE6C1C" w:rsidRDefault="009404C8" w:rsidP="00EE6C1C">
      <w:r w:rsidRPr="009404C8">
        <w:t xml:space="preserve">Pārvalde lūdz iesniegt datus, lai nodrošinātu lietotāju vajadzības, kas definētas </w:t>
      </w:r>
      <w:hyperlink r:id="rId7" w:history="1">
        <w:r w:rsidRPr="00EE6C1C">
          <w:rPr>
            <w:rStyle w:val="Hyperlink"/>
            <w:rFonts w:cs="Verdana"/>
            <w:szCs w:val="20"/>
          </w:rPr>
          <w:t>Oficiālās statistikas programmas</w:t>
        </w:r>
      </w:hyperlink>
      <w:r w:rsidRPr="00EE6C1C">
        <w:t xml:space="preserve"> pielikuma </w:t>
      </w:r>
      <w:r w:rsidR="00EE6C1C" w:rsidRPr="00EE6C1C">
        <w:rPr>
          <w:szCs w:val="20"/>
        </w:rPr>
        <w:t>4. punktā (Cenu statistika)</w:t>
      </w:r>
      <w:r w:rsidRPr="00EE6C1C">
        <w:t xml:space="preserve"> un </w:t>
      </w:r>
      <w:r w:rsidR="00EE6C1C" w:rsidRPr="00EE6C1C">
        <w:rPr>
          <w:szCs w:val="20"/>
        </w:rPr>
        <w:t>16. punktā (Lauksaimniecības statistika)</w:t>
      </w:r>
      <w:r w:rsidRPr="00EE6C1C">
        <w:t>.</w:t>
      </w:r>
    </w:p>
    <w:p w14:paraId="6A99CE63" w14:textId="773751E3" w:rsidR="00527D02" w:rsidRDefault="00A20E4A" w:rsidP="00527D02">
      <w:r>
        <w:t>Ikviena</w:t>
      </w:r>
      <w:r w:rsidR="00527D02" w:rsidRPr="00EE6C1C">
        <w:t xml:space="preserve"> uzņēmuma sniegtie dati par puķkopības un stādu audzēšanas nozari –</w:t>
      </w:r>
      <w:r w:rsidR="00527D02">
        <w:t xml:space="preserve"> izmantotajām platībām, pārdoto produkciju, ieņēmumiem un izdevumiem, kas saistīti ar produkcijas ražošanu un pārdošanu, </w:t>
      </w:r>
      <w:r w:rsidR="00527D02">
        <w:rPr>
          <w:rFonts w:cs="Open Sans"/>
        </w:rPr>
        <w:t>nodrošinās informāciju lauksaimniecības sektora</w:t>
      </w:r>
      <w:r w:rsidR="00527D02">
        <w:t xml:space="preserve"> attīstības plānošanai, novērtējumam un analīzei, kas nepieciešama </w:t>
      </w:r>
      <w:r w:rsidR="00527D02">
        <w:rPr>
          <w:rFonts w:cs="Open Sans"/>
        </w:rPr>
        <w:t>lēmumu pieņemšanai lauksaimniecības politikas un lauku a</w:t>
      </w:r>
      <w:r w:rsidR="00527D02">
        <w:t>ttīstībai Latvijā, Eiropas Savienībā.</w:t>
      </w:r>
    </w:p>
    <w:p w14:paraId="298FAD38" w14:textId="77777777" w:rsidR="00527D02" w:rsidRDefault="00527D02" w:rsidP="00527D02">
      <w:r>
        <w:t>Apsekojumā iegūtos kopsavilkuma datus izmanto arī:</w:t>
      </w:r>
    </w:p>
    <w:p w14:paraId="4611DAE2" w14:textId="77777777" w:rsidR="00527D02" w:rsidRDefault="00527D02" w:rsidP="00527D02">
      <w:pPr>
        <w:numPr>
          <w:ilvl w:val="0"/>
          <w:numId w:val="37"/>
        </w:numPr>
        <w:autoSpaceDE w:val="0"/>
        <w:autoSpaceDN w:val="0"/>
        <w:adjustRightInd w:val="0"/>
        <w:spacing w:line="256" w:lineRule="auto"/>
        <w:ind w:left="2058" w:hanging="357"/>
        <w:rPr>
          <w:rFonts w:cs="Arial"/>
          <w:szCs w:val="20"/>
        </w:rPr>
      </w:pPr>
      <w:r>
        <w:rPr>
          <w:rFonts w:cs="Arial"/>
          <w:szCs w:val="20"/>
        </w:rPr>
        <w:t>lauksaimniecības produktu cenu un cenu indeksu aprēķinam;</w:t>
      </w:r>
    </w:p>
    <w:p w14:paraId="72A32E49" w14:textId="0194D73C" w:rsidR="00381049" w:rsidRPr="00527D02" w:rsidRDefault="00527D02" w:rsidP="00527D02">
      <w:pPr>
        <w:numPr>
          <w:ilvl w:val="0"/>
          <w:numId w:val="37"/>
        </w:numPr>
        <w:autoSpaceDE w:val="0"/>
        <w:autoSpaceDN w:val="0"/>
        <w:adjustRightInd w:val="0"/>
        <w:spacing w:line="256" w:lineRule="auto"/>
        <w:ind w:left="2058" w:hanging="357"/>
        <w:rPr>
          <w:rFonts w:cs="Arial"/>
          <w:szCs w:val="20"/>
        </w:rPr>
      </w:pPr>
      <w:r w:rsidRPr="00527D02">
        <w:rPr>
          <w:rFonts w:cs="Arial"/>
          <w:szCs w:val="20"/>
        </w:rPr>
        <w:t>lauksaimniecības produkcijas novērtējumam iekšzemes kopproduktā, kā arī lauksaimniecības ekonomisko kontu aprēķinam.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42F0435D" w:rsidR="00FB66EA" w:rsidRPr="00527D02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527D02">
        <w:t>o</w:t>
      </w:r>
      <w:r w:rsidRPr="00C13E38">
        <w:t xml:space="preserve"> </w:t>
      </w:r>
      <w:r w:rsidR="00322F85" w:rsidRPr="00C13E38">
        <w:t>tiesību aktu:</w:t>
      </w:r>
    </w:p>
    <w:p w14:paraId="358F4B63" w14:textId="512DB09F" w:rsidR="00C172E4" w:rsidRPr="00250C9F" w:rsidRDefault="00250C9F" w:rsidP="00C172E4">
      <w:pPr>
        <w:pStyle w:val="NoSpacing"/>
      </w:pPr>
      <w:hyperlink r:id="rId8" w:history="1">
        <w:r w:rsidRPr="00903D76">
          <w:rPr>
            <w:rStyle w:val="Hyperlink"/>
          </w:rPr>
          <w:t>Eiropas Parlamenta u</w:t>
        </w:r>
        <w:r w:rsidRPr="00903D76">
          <w:rPr>
            <w:rStyle w:val="Hyperlink"/>
          </w:rPr>
          <w:t>n</w:t>
        </w:r>
        <w:r w:rsidRPr="00903D76">
          <w:rPr>
            <w:rStyle w:val="Hyperlink"/>
          </w:rPr>
          <w:t xml:space="preserve"> Padomes Regula (ES) 2022/2379</w:t>
        </w:r>
      </w:hyperlink>
      <w:r w:rsidRPr="00903D76">
        <w:t xml:space="preserve"> (2022. gada 23. novembris) par statistiku par lauksaimniecības ielaidi un izlaidi un ar ko groza Komisijas Regulu (EK) Nr. 617/2008 un atceļ Eiropa Parlamenta un Padomes Regulas (EK) Nr. 1165/2008, (EK) Nr. 543/2009 un (EK) Nr. 1185/2009 un Padomes Direktīvu 96/16/EK</w:t>
      </w:r>
      <w:r w:rsidR="00C172E4" w:rsidRPr="00EE6C1C">
        <w:rPr>
          <w:rFonts w:cs="Open Sans"/>
          <w:szCs w:val="20"/>
        </w:rPr>
        <w:t>.</w:t>
      </w:r>
    </w:p>
    <w:bookmarkStart w:id="3" w:name="_Hlk207976731"/>
    <w:p w14:paraId="36FB313A" w14:textId="7323F473" w:rsidR="00250C9F" w:rsidRDefault="00250C9F" w:rsidP="00C172E4">
      <w:pPr>
        <w:pStyle w:val="NoSpacing"/>
      </w:pPr>
      <w:r>
        <w:fldChar w:fldCharType="begin"/>
      </w:r>
      <w:r>
        <w:instrText>HYPERLINK "https://eur-lex.europa.eu/eli/reg_impl/2023/1579/oj"</w:instrText>
      </w:r>
      <w:r>
        <w:fldChar w:fldCharType="separate"/>
      </w:r>
      <w:r w:rsidRPr="00903D76">
        <w:rPr>
          <w:rStyle w:val="Hyperlink"/>
        </w:rPr>
        <w:t>Komi</w:t>
      </w:r>
      <w:r w:rsidRPr="00903D76">
        <w:rPr>
          <w:rStyle w:val="Hyperlink"/>
        </w:rPr>
        <w:t>s</w:t>
      </w:r>
      <w:r w:rsidRPr="00903D76">
        <w:rPr>
          <w:rStyle w:val="Hyperlink"/>
        </w:rPr>
        <w:t>ijas Īstenošanas regula (ES) 2023/1579</w:t>
      </w:r>
      <w:r>
        <w:rPr>
          <w:rStyle w:val="Hyperlink"/>
        </w:rPr>
        <w:fldChar w:fldCharType="end"/>
      </w:r>
      <w:bookmarkEnd w:id="3"/>
      <w:r w:rsidRPr="00903D76">
        <w:t xml:space="preserve"> (2023. gada 31. jūlijs), ar ko paredz noteikumus par to, kā Eiropas Parlamenta un Padomes Regulu (ES) 2022/2379 piemēro attiecībā uz lauksaimniecības produktu cenu statistiku</w:t>
      </w:r>
      <w:r>
        <w:t>.</w:t>
      </w:r>
    </w:p>
    <w:p w14:paraId="6F825B09" w14:textId="2CB3289C" w:rsidR="00250C9F" w:rsidRPr="003B371D" w:rsidRDefault="00250C9F" w:rsidP="00C172E4">
      <w:pPr>
        <w:pStyle w:val="NoSpacing"/>
      </w:pPr>
      <w:hyperlink r:id="rId9" w:history="1">
        <w:r w:rsidRPr="004537C3">
          <w:rPr>
            <w:rStyle w:val="Hyperlink"/>
          </w:rPr>
          <w:t>Komisijas īstenošana</w:t>
        </w:r>
        <w:r w:rsidRPr="004537C3">
          <w:rPr>
            <w:rStyle w:val="Hyperlink"/>
          </w:rPr>
          <w:t>s</w:t>
        </w:r>
        <w:r w:rsidRPr="004537C3">
          <w:rPr>
            <w:rStyle w:val="Hyperlink"/>
          </w:rPr>
          <w:t xml:space="preserve"> </w:t>
        </w:r>
        <w:r w:rsidRPr="004537C3">
          <w:rPr>
            <w:rStyle w:val="Hyperlink"/>
          </w:rPr>
          <w:t>Regul</w:t>
        </w:r>
        <w:r>
          <w:rPr>
            <w:rStyle w:val="Hyperlink"/>
          </w:rPr>
          <w:t>u</w:t>
        </w:r>
        <w:r w:rsidRPr="004537C3">
          <w:rPr>
            <w:rStyle w:val="Hyperlink"/>
          </w:rPr>
          <w:t xml:space="preserve"> (ES) 2023/1538</w:t>
        </w:r>
      </w:hyperlink>
      <w:r>
        <w:t xml:space="preserve"> (</w:t>
      </w:r>
      <w:r w:rsidRPr="004537C3">
        <w:t>2023. gada 25. jūlijs</w:t>
      </w:r>
      <w:r>
        <w:t>),</w:t>
      </w:r>
      <w:r w:rsidRPr="004537C3">
        <w:t xml:space="preserve"> ar ko paredz noteikumus par to, kā Eiropas Parlamenta un Padomes Regulu (ES) 2022/2379 piemēro attiecībā uz augkopības produkcijas statistiku (Dokuments attiecas uz EEZ)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4" w:name="_Toc70071549"/>
      <w:r>
        <w:t>Kur ir noteikts p</w:t>
      </w:r>
      <w:r w:rsidR="00E47D56" w:rsidRPr="00F37885">
        <w:t>ienākums iesniegt datus</w:t>
      </w:r>
      <w:r>
        <w:t>?</w:t>
      </w:r>
      <w:bookmarkEnd w:id="4"/>
    </w:p>
    <w:p w14:paraId="2FE3EA63" w14:textId="78C48761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10" w:anchor="p14" w:history="1">
        <w:r w:rsidRPr="00EE6C1C">
          <w:rPr>
            <w:rStyle w:val="Hyperlink"/>
            <w:rFonts w:cs="Times New Roman"/>
            <w:szCs w:val="20"/>
          </w:rPr>
          <w:t>Stat</w:t>
        </w:r>
        <w:r w:rsidR="00DC7EFA" w:rsidRPr="00EE6C1C">
          <w:rPr>
            <w:rStyle w:val="Hyperlink"/>
            <w:rFonts w:cs="Times New Roman"/>
            <w:szCs w:val="20"/>
          </w:rPr>
          <w:t>i</w:t>
        </w:r>
        <w:r w:rsidRPr="00EE6C1C">
          <w:rPr>
            <w:rStyle w:val="Hyperlink"/>
            <w:rFonts w:cs="Times New Roman"/>
            <w:szCs w:val="20"/>
          </w:rPr>
          <w:t>s</w:t>
        </w:r>
        <w:r w:rsidR="00DC7EFA" w:rsidRPr="00EE6C1C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5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5"/>
    </w:p>
    <w:p w14:paraId="584FBD34" w14:textId="4F9C68B7" w:rsidR="00381049" w:rsidRDefault="00527D02" w:rsidP="00F914B8">
      <w:pPr>
        <w:pStyle w:val="NoSpacing"/>
        <w:numPr>
          <w:ilvl w:val="0"/>
          <w:numId w:val="0"/>
        </w:numPr>
        <w:ind w:left="1134"/>
      </w:pPr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6" w:name="_Toc70071551"/>
      <w:r>
        <w:t>Kam ir jāiesniedz dati?</w:t>
      </w:r>
      <w:bookmarkEnd w:id="6"/>
    </w:p>
    <w:p w14:paraId="71539DD3" w14:textId="01627066" w:rsidR="00D20956" w:rsidRPr="00DA22A5" w:rsidRDefault="00527D02" w:rsidP="004652B7">
      <w:r>
        <w:t>Apsekojumā iekļauj visus u</w:t>
      </w:r>
      <w:r>
        <w:rPr>
          <w:lang w:eastAsia="lv-LV"/>
        </w:rPr>
        <w:t>zņēmumus (lauku saimniecības), kas nodarbojas ar puķu, dekoratīvo koku</w:t>
      </w:r>
      <w:r w:rsidR="00376B82">
        <w:rPr>
          <w:lang w:eastAsia="lv-LV"/>
        </w:rPr>
        <w:t xml:space="preserve"> un </w:t>
      </w:r>
      <w:r>
        <w:rPr>
          <w:lang w:eastAsia="lv-LV"/>
        </w:rPr>
        <w:t xml:space="preserve"> krūmu, augļu koku</w:t>
      </w:r>
      <w:r w:rsidR="00376B82">
        <w:rPr>
          <w:lang w:eastAsia="lv-LV"/>
        </w:rPr>
        <w:t xml:space="preserve"> un</w:t>
      </w:r>
      <w:r>
        <w:rPr>
          <w:lang w:eastAsia="lv-LV"/>
        </w:rPr>
        <w:t xml:space="preserve"> ogulāju stādu audzēšanu un pārdošanu.</w:t>
      </w:r>
    </w:p>
    <w:p w14:paraId="4CE90850" w14:textId="77777777" w:rsidR="00164982" w:rsidRDefault="00DA22A5" w:rsidP="009915D4">
      <w:bookmarkStart w:id="7" w:name="_Hlk71626964"/>
      <w:r w:rsidRPr="009E389F">
        <w:t xml:space="preserve">Izlases izveidošanas </w:t>
      </w:r>
      <w:r>
        <w:t>standarts</w:t>
      </w:r>
      <w:r w:rsidRPr="009E389F">
        <w:t>:</w:t>
      </w:r>
    </w:p>
    <w:bookmarkStart w:id="8" w:name="_Hlk73700911"/>
    <w:bookmarkEnd w:id="7"/>
    <w:p w14:paraId="0B377483" w14:textId="1B4D7BEA" w:rsidR="00250C9F" w:rsidRPr="00250C9F" w:rsidRDefault="00250C9F" w:rsidP="00D423E8">
      <w:pPr>
        <w:pStyle w:val="ListParagraph"/>
        <w:numPr>
          <w:ilvl w:val="0"/>
          <w:numId w:val="43"/>
        </w:numPr>
        <w:tabs>
          <w:tab w:val="left" w:pos="1560"/>
        </w:tabs>
        <w:spacing w:after="240" w:line="276" w:lineRule="auto"/>
        <w:ind w:left="1560" w:hanging="284"/>
        <w:rPr>
          <w:rFonts w:eastAsia="Times New Roman" w:cs="Times New Roman"/>
          <w:szCs w:val="20"/>
          <w:lang w:eastAsia="lv-LV"/>
        </w:rPr>
      </w:pPr>
      <w:r>
        <w:fldChar w:fldCharType="begin"/>
      </w:r>
      <w:r>
        <w:instrText>HYPERLINK "https://eur-lex.europa.eu/eli/reg/2022/2379/oj/?locale=LV"</w:instrText>
      </w:r>
      <w:r>
        <w:fldChar w:fldCharType="separate"/>
      </w:r>
      <w:r w:rsidRPr="00903D76">
        <w:rPr>
          <w:rStyle w:val="Hyperlink"/>
        </w:rPr>
        <w:t>Eiropas Parlamenta un Pado</w:t>
      </w:r>
      <w:r w:rsidRPr="00903D76">
        <w:rPr>
          <w:rStyle w:val="Hyperlink"/>
        </w:rPr>
        <w:t>m</w:t>
      </w:r>
      <w:r w:rsidRPr="00903D76">
        <w:rPr>
          <w:rStyle w:val="Hyperlink"/>
        </w:rPr>
        <w:t>es Regula (ES) 2022/2379</w:t>
      </w:r>
      <w:r>
        <w:fldChar w:fldCharType="end"/>
      </w:r>
      <w:r>
        <w:t xml:space="preserve"> </w:t>
      </w:r>
      <w:r w:rsidR="00D423E8" w:rsidRPr="00D423E8">
        <w:t>(2022. gada 23. novembris) par statistiku par lauksaimniecības ielaidi un izlaidi un ar ko groza Komisijas Regulu (EK) Nr. 617/2008 un atceļ Eiropa Parlamenta un Padomes Regulas (EK) Nr. 1165/2008, (EK) Nr. 543/2009 un (EK) Nr. 1185/2009 un Padomes Direktīvu 96/16/EK</w:t>
      </w:r>
      <w:r w:rsidR="00D423E8" w:rsidRPr="00D423E8">
        <w:t xml:space="preserve"> </w:t>
      </w:r>
      <w:r w:rsidR="001A097E" w:rsidRPr="00250C9F">
        <w:rPr>
          <w:rFonts w:eastAsia="Times New Roman" w:cs="Times New Roman"/>
          <w:szCs w:val="20"/>
          <w:lang w:eastAsia="lv-LV"/>
        </w:rPr>
        <w:t xml:space="preserve">5. pants; </w:t>
      </w:r>
    </w:p>
    <w:p w14:paraId="3D1F1100" w14:textId="2919E452" w:rsidR="00250C9F" w:rsidRPr="00250C9F" w:rsidRDefault="00250C9F" w:rsidP="00250C9F">
      <w:pPr>
        <w:pStyle w:val="ListParagraph"/>
        <w:numPr>
          <w:ilvl w:val="0"/>
          <w:numId w:val="43"/>
        </w:numPr>
        <w:spacing w:after="240" w:line="276" w:lineRule="auto"/>
        <w:ind w:left="1560" w:hanging="284"/>
        <w:rPr>
          <w:rFonts w:eastAsia="Times New Roman" w:cs="Times New Roman"/>
          <w:szCs w:val="20"/>
          <w:lang w:eastAsia="lv-LV"/>
        </w:rPr>
      </w:pPr>
      <w:hyperlink r:id="rId11" w:history="1">
        <w:r w:rsidRPr="004537C3">
          <w:rPr>
            <w:rStyle w:val="Hyperlink"/>
          </w:rPr>
          <w:t xml:space="preserve">Komisijas </w:t>
        </w:r>
        <w:r w:rsidRPr="004537C3">
          <w:rPr>
            <w:rStyle w:val="Hyperlink"/>
          </w:rPr>
          <w:t>ī</w:t>
        </w:r>
        <w:r w:rsidRPr="004537C3">
          <w:rPr>
            <w:rStyle w:val="Hyperlink"/>
          </w:rPr>
          <w:t>stenošanas Regul</w:t>
        </w:r>
        <w:r>
          <w:rPr>
            <w:rStyle w:val="Hyperlink"/>
          </w:rPr>
          <w:t>u</w:t>
        </w:r>
        <w:r w:rsidRPr="004537C3">
          <w:rPr>
            <w:rStyle w:val="Hyperlink"/>
          </w:rPr>
          <w:t xml:space="preserve"> (ES) 2023/1538</w:t>
        </w:r>
      </w:hyperlink>
      <w:r w:rsidR="00D423E8" w:rsidRPr="00D423E8">
        <w:t>(2023. gada 25. jūlijs), ar ko paredz noteikumus par to, kā Eiropas Parlamenta un Padomes Regulu (ES) 2022/2379 piemēro attiecībā uz augkopības produkcijas statistiku, (Dokuments attiecas uz EEZ)</w:t>
      </w:r>
      <w:r>
        <w:t xml:space="preserve"> </w:t>
      </w:r>
      <w:r w:rsidR="001A097E" w:rsidRPr="00250C9F">
        <w:rPr>
          <w:rFonts w:eastAsia="Times New Roman" w:cs="Times New Roman"/>
          <w:szCs w:val="20"/>
          <w:lang w:eastAsia="lv-LV"/>
        </w:rPr>
        <w:t xml:space="preserve">2. pants; </w:t>
      </w:r>
    </w:p>
    <w:p w14:paraId="4A8AD0CA" w14:textId="0F3FB1B1" w:rsidR="00250C9F" w:rsidRPr="00250C9F" w:rsidRDefault="00250C9F" w:rsidP="00250C9F">
      <w:pPr>
        <w:pStyle w:val="ListParagraph"/>
        <w:numPr>
          <w:ilvl w:val="0"/>
          <w:numId w:val="43"/>
        </w:numPr>
        <w:spacing w:after="240" w:line="276" w:lineRule="auto"/>
        <w:ind w:left="1560" w:hanging="284"/>
        <w:rPr>
          <w:rFonts w:eastAsia="Times New Roman" w:cs="Times New Roman"/>
          <w:szCs w:val="20"/>
          <w:lang w:eastAsia="lv-LV"/>
        </w:rPr>
      </w:pPr>
      <w:hyperlink r:id="rId12" w:history="1">
        <w:r w:rsidRPr="00903D76">
          <w:rPr>
            <w:rStyle w:val="Hyperlink"/>
          </w:rPr>
          <w:t>Komisijas Īst</w:t>
        </w:r>
        <w:r w:rsidRPr="00903D76">
          <w:rPr>
            <w:rStyle w:val="Hyperlink"/>
          </w:rPr>
          <w:t>e</w:t>
        </w:r>
        <w:r w:rsidRPr="00903D76">
          <w:rPr>
            <w:rStyle w:val="Hyperlink"/>
          </w:rPr>
          <w:t>nošanas regula (ES) 2023/1579</w:t>
        </w:r>
      </w:hyperlink>
      <w:r>
        <w:rPr>
          <w:rStyle w:val="Hyperlink"/>
        </w:rPr>
        <w:t xml:space="preserve"> </w:t>
      </w:r>
      <w:r w:rsidR="00D423E8" w:rsidRPr="00D423E8">
        <w:rPr>
          <w:rStyle w:val="Hyperlink"/>
          <w:color w:val="000000" w:themeColor="text1"/>
        </w:rPr>
        <w:t>(2023. gada 31. jūlijs), ar ko paredz noteikumus par to, kā Eiropas Parlamenta un Padomes Regulu (ES) 2022/2379 piemēro attiecībā uz lauksaimniecības produktu cenu statistiku</w:t>
      </w:r>
      <w:r w:rsidR="00D423E8" w:rsidRPr="00D423E8">
        <w:rPr>
          <w:rStyle w:val="Hyperlink"/>
          <w:color w:val="000000" w:themeColor="text1"/>
        </w:rPr>
        <w:t xml:space="preserve"> </w:t>
      </w:r>
      <w:r w:rsidR="001A097E" w:rsidRPr="00250C9F">
        <w:rPr>
          <w:rFonts w:eastAsia="Times New Roman" w:cs="Times New Roman"/>
          <w:szCs w:val="20"/>
          <w:lang w:eastAsia="lv-LV"/>
        </w:rPr>
        <w:t xml:space="preserve">2. pants; </w:t>
      </w:r>
    </w:p>
    <w:p w14:paraId="52C1044F" w14:textId="69396575" w:rsidR="001A097E" w:rsidRDefault="009A118F" w:rsidP="00250C9F">
      <w:pPr>
        <w:pStyle w:val="ListParagraph"/>
        <w:numPr>
          <w:ilvl w:val="0"/>
          <w:numId w:val="43"/>
        </w:numPr>
        <w:spacing w:after="240" w:line="276" w:lineRule="auto"/>
        <w:ind w:left="1560" w:hanging="284"/>
        <w:rPr>
          <w:rFonts w:eastAsia="Times New Roman" w:cs="Times New Roman"/>
          <w:szCs w:val="20"/>
          <w:lang w:eastAsia="lv-LV"/>
        </w:rPr>
      </w:pPr>
      <w:hyperlink r:id="rId13" w:history="1">
        <w:r w:rsidRPr="00E559BD">
          <w:rPr>
            <w:rStyle w:val="Hyperlink"/>
          </w:rPr>
          <w:t>Eiropas</w:t>
        </w:r>
        <w:r w:rsidRPr="00E559BD">
          <w:rPr>
            <w:rStyle w:val="Hyperlink"/>
          </w:rPr>
          <w:t xml:space="preserve"> </w:t>
        </w:r>
        <w:r w:rsidRPr="00E559BD">
          <w:rPr>
            <w:rStyle w:val="Hyperlink"/>
          </w:rPr>
          <w:t>Parlamenta un P</w:t>
        </w:r>
        <w:r w:rsidRPr="00E559BD">
          <w:rPr>
            <w:rStyle w:val="Hyperlink"/>
          </w:rPr>
          <w:t>a</w:t>
        </w:r>
        <w:r w:rsidRPr="00E559BD">
          <w:rPr>
            <w:rStyle w:val="Hyperlink"/>
          </w:rPr>
          <w:t>domes 2003. gada 5. decembra Regulu (EK) Nr. 138/2004</w:t>
        </w:r>
      </w:hyperlink>
      <w:r>
        <w:t xml:space="preserve"> </w:t>
      </w:r>
      <w:r w:rsidR="00EA014C" w:rsidRPr="00EA014C">
        <w:t>par ekonomikas pārskatiem Kopienas lauksaimniecībā</w:t>
      </w:r>
      <w:r w:rsidR="00EA014C" w:rsidRPr="00EA014C">
        <w:t xml:space="preserve"> </w:t>
      </w:r>
      <w:r w:rsidR="001A097E" w:rsidRPr="00250C9F">
        <w:rPr>
          <w:rFonts w:eastAsia="Times New Roman" w:cs="Times New Roman"/>
          <w:szCs w:val="20"/>
          <w:lang w:eastAsia="lv-LV"/>
        </w:rPr>
        <w:t>1., 2. pants</w:t>
      </w:r>
      <w:r w:rsidR="00EA014C">
        <w:rPr>
          <w:rFonts w:eastAsia="Times New Roman" w:cs="Times New Roman"/>
          <w:szCs w:val="20"/>
          <w:lang w:eastAsia="lv-LV"/>
        </w:rPr>
        <w:t>;</w:t>
      </w:r>
    </w:p>
    <w:p w14:paraId="23EC4A91" w14:textId="59F6282C" w:rsidR="009A118F" w:rsidRPr="00250C9F" w:rsidRDefault="009A118F" w:rsidP="00250C9F">
      <w:pPr>
        <w:pStyle w:val="ListParagraph"/>
        <w:numPr>
          <w:ilvl w:val="0"/>
          <w:numId w:val="43"/>
        </w:numPr>
        <w:spacing w:after="240" w:line="276" w:lineRule="auto"/>
        <w:ind w:left="1560" w:hanging="284"/>
        <w:rPr>
          <w:rFonts w:eastAsia="Times New Roman" w:cs="Times New Roman"/>
          <w:szCs w:val="20"/>
          <w:lang w:eastAsia="lv-LV"/>
        </w:rPr>
      </w:pPr>
      <w:hyperlink r:id="rId14" w:history="1">
        <w:r>
          <w:rPr>
            <w:rStyle w:val="Hyperlink"/>
          </w:rPr>
          <w:t>Ministru kabineta 2016. gada 20. decembra noteikumi Nr. 812</w:t>
        </w:r>
      </w:hyperlink>
      <w:r>
        <w:t xml:space="preserve"> ”Oficiālās statistikas veidlapu paraugu apstiprināšanas un veidlapu aizpildīšanas un iesniegšanas noteikumi”</w:t>
      </w:r>
      <w:r w:rsidR="00EA014C">
        <w:t>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9" w:name="_Toc70071552"/>
      <w:bookmarkEnd w:id="8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9"/>
    </w:p>
    <w:p w14:paraId="2EAA4C71" w14:textId="77777777" w:rsidR="00527D02" w:rsidRPr="00527D02" w:rsidRDefault="00527D02" w:rsidP="00EE6C1C">
      <w:pPr>
        <w:pStyle w:val="NoSpacing"/>
      </w:pPr>
      <w:bookmarkStart w:id="10" w:name="_Toc40698654"/>
      <w:r w:rsidRPr="00527D02">
        <w:t>Oficiālās statistikas portālā:</w:t>
      </w:r>
    </w:p>
    <w:p w14:paraId="3FB5EF93" w14:textId="206E9CC5" w:rsidR="00521B79" w:rsidRDefault="00521B79" w:rsidP="00EE6C1C">
      <w:pPr>
        <w:pStyle w:val="NoSpacing"/>
        <w:numPr>
          <w:ilvl w:val="1"/>
          <w:numId w:val="41"/>
        </w:numPr>
        <w:rPr>
          <w:color w:val="0070C0"/>
          <w:szCs w:val="20"/>
        </w:rPr>
      </w:pPr>
      <w:hyperlink r:id="rId15" w:history="1">
        <w:r w:rsidRPr="00521B79">
          <w:rPr>
            <w:rStyle w:val="Hyperlink"/>
            <w:szCs w:val="20"/>
          </w:rPr>
          <w:t>Puķu, ogu</w:t>
        </w:r>
        <w:r w:rsidRPr="00521B79">
          <w:rPr>
            <w:rStyle w:val="Hyperlink"/>
            <w:szCs w:val="20"/>
          </w:rPr>
          <w:t>l</w:t>
        </w:r>
        <w:r w:rsidRPr="00521B79">
          <w:rPr>
            <w:rStyle w:val="Hyperlink"/>
            <w:szCs w:val="20"/>
          </w:rPr>
          <w:t>āju, augļu un dekoratīvo koku un krūmu stādu audzēšanas platības, ha</w:t>
        </w:r>
      </w:hyperlink>
    </w:p>
    <w:p w14:paraId="6A2ABE26" w14:textId="5F001FCE" w:rsidR="001A097E" w:rsidRPr="009A118F" w:rsidRDefault="00521B79" w:rsidP="009A118F">
      <w:pPr>
        <w:pStyle w:val="NoSpacing"/>
        <w:numPr>
          <w:ilvl w:val="1"/>
          <w:numId w:val="41"/>
        </w:numPr>
        <w:rPr>
          <w:color w:val="0070C0"/>
          <w:szCs w:val="20"/>
        </w:rPr>
      </w:pPr>
      <w:hyperlink r:id="rId16" w:history="1">
        <w:r w:rsidRPr="00521B79">
          <w:rPr>
            <w:rStyle w:val="Hyperlink"/>
            <w:szCs w:val="20"/>
          </w:rPr>
          <w:t xml:space="preserve">Puķu, ogulāju, </w:t>
        </w:r>
        <w:r w:rsidRPr="00521B79">
          <w:rPr>
            <w:rStyle w:val="Hyperlink"/>
            <w:szCs w:val="20"/>
          </w:rPr>
          <w:t>a</w:t>
        </w:r>
        <w:r w:rsidRPr="00521B79">
          <w:rPr>
            <w:rStyle w:val="Hyperlink"/>
            <w:szCs w:val="20"/>
          </w:rPr>
          <w:t>ugļu un dekoratīvo koku un krūmu stādu pārdošana, tūkst. gab</w:t>
        </w:r>
      </w:hyperlink>
      <w:r w:rsidR="002939D6">
        <w:rPr>
          <w:color w:val="0070C0"/>
          <w:szCs w:val="20"/>
        </w:rPr>
        <w:t>.</w:t>
      </w:r>
    </w:p>
    <w:p w14:paraId="02D4A393" w14:textId="6C0A8204" w:rsidR="00527D02" w:rsidRPr="00235E57" w:rsidRDefault="00527D02" w:rsidP="00EE6C1C">
      <w:pPr>
        <w:pStyle w:val="NoSpacing"/>
        <w:numPr>
          <w:ilvl w:val="1"/>
          <w:numId w:val="41"/>
        </w:numPr>
        <w:rPr>
          <w:szCs w:val="20"/>
        </w:rPr>
      </w:pPr>
      <w:hyperlink r:id="rId17" w:history="1">
        <w:r w:rsidRPr="00235E57">
          <w:rPr>
            <w:color w:val="0000FF"/>
            <w:szCs w:val="20"/>
          </w:rPr>
          <w:t>Lauksaimniecīb</w:t>
        </w:r>
        <w:r w:rsidRPr="00235E57">
          <w:rPr>
            <w:color w:val="0000FF"/>
            <w:szCs w:val="20"/>
          </w:rPr>
          <w:t>a</w:t>
        </w:r>
        <w:r w:rsidRPr="00235E57">
          <w:rPr>
            <w:color w:val="0000FF"/>
            <w:szCs w:val="20"/>
          </w:rPr>
          <w:t>s produktu cenas</w:t>
        </w:r>
      </w:hyperlink>
    </w:p>
    <w:p w14:paraId="3293EFA2" w14:textId="77777777" w:rsidR="00527D02" w:rsidRPr="00235E57" w:rsidRDefault="00527D02" w:rsidP="00EE6C1C">
      <w:pPr>
        <w:pStyle w:val="NoSpacing"/>
        <w:numPr>
          <w:ilvl w:val="1"/>
          <w:numId w:val="41"/>
        </w:numPr>
        <w:rPr>
          <w:szCs w:val="20"/>
        </w:rPr>
      </w:pPr>
      <w:hyperlink r:id="rId18" w:history="1">
        <w:r w:rsidRPr="00235E57">
          <w:rPr>
            <w:color w:val="0000FF"/>
            <w:szCs w:val="20"/>
          </w:rPr>
          <w:t>Lauksaim</w:t>
        </w:r>
        <w:r w:rsidRPr="00235E57">
          <w:rPr>
            <w:color w:val="0000FF"/>
            <w:szCs w:val="20"/>
          </w:rPr>
          <w:t>n</w:t>
        </w:r>
        <w:r w:rsidRPr="00235E57">
          <w:rPr>
            <w:color w:val="0000FF"/>
            <w:szCs w:val="20"/>
          </w:rPr>
          <w:t>iecības produkcijas cenu indeksi</w:t>
        </w:r>
      </w:hyperlink>
    </w:p>
    <w:p w14:paraId="705CDA4A" w14:textId="525ECF46" w:rsidR="00527D02" w:rsidRPr="00D423E8" w:rsidRDefault="00527D02" w:rsidP="00EE6C1C">
      <w:pPr>
        <w:pStyle w:val="NoSpacing"/>
        <w:numPr>
          <w:ilvl w:val="1"/>
          <w:numId w:val="41"/>
        </w:numPr>
        <w:rPr>
          <w:szCs w:val="20"/>
        </w:rPr>
      </w:pPr>
      <w:hyperlink r:id="rId19" w:history="1">
        <w:r w:rsidRPr="00235E57">
          <w:rPr>
            <w:color w:val="0000FF"/>
            <w:szCs w:val="20"/>
          </w:rPr>
          <w:t>Lauksaimniecības produkcijas ceturkšņa cenu indeksi</w:t>
        </w:r>
      </w:hyperlink>
    </w:p>
    <w:p w14:paraId="5FBBC816" w14:textId="6C89A7C9" w:rsidR="00D423E8" w:rsidRDefault="00D423E8" w:rsidP="00D423E8">
      <w:pPr>
        <w:pStyle w:val="NoSpacing"/>
        <w:numPr>
          <w:ilvl w:val="1"/>
          <w:numId w:val="41"/>
        </w:numPr>
        <w:rPr>
          <w:rFonts w:cs="Verdana"/>
          <w:color w:val="000000"/>
          <w:szCs w:val="20"/>
        </w:rPr>
      </w:pPr>
      <w:r>
        <w:t xml:space="preserve">Statistisko datu krājums </w:t>
      </w:r>
      <w:hyperlink r:id="rId20" w:history="1">
        <w:r>
          <w:rPr>
            <w:rStyle w:val="Hyperlink"/>
          </w:rPr>
          <w:t>Latvijas lauksaimniecība</w:t>
        </w:r>
      </w:hyperlink>
    </w:p>
    <w:p w14:paraId="438F1029" w14:textId="1CACEE95" w:rsidR="00381049" w:rsidRPr="00F914B8" w:rsidRDefault="00EE6C1C" w:rsidP="00D423E8">
      <w:pPr>
        <w:pStyle w:val="NoSpacing"/>
        <w:ind w:left="1560" w:hanging="284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(Eurostat)</w:t>
      </w:r>
      <w:r w:rsidR="00527D02" w:rsidRPr="00527D02">
        <w:rPr>
          <w:color w:val="000000"/>
          <w:szCs w:val="20"/>
        </w:rPr>
        <w:t xml:space="preserve"> </w:t>
      </w:r>
      <w:hyperlink r:id="rId21" w:history="1">
        <w:r w:rsidR="00527D02" w:rsidRPr="00527D02">
          <w:rPr>
            <w:color w:val="0000FF"/>
            <w:szCs w:val="20"/>
            <w:u w:val="single"/>
          </w:rPr>
          <w:t>datubāzēs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1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0"/>
      <w:r>
        <w:t>?</w:t>
      </w:r>
      <w:bookmarkEnd w:id="11"/>
    </w:p>
    <w:p w14:paraId="22E25712" w14:textId="77777777" w:rsidR="00527D02" w:rsidRPr="00EE6C1C" w:rsidRDefault="00527D02" w:rsidP="00EE6C1C">
      <w:pPr>
        <w:pStyle w:val="NoSpacing"/>
        <w:rPr>
          <w:color w:val="000000" w:themeColor="text1"/>
          <w:szCs w:val="20"/>
          <w:u w:val="single"/>
        </w:rPr>
      </w:pPr>
      <w:hyperlink r:id="rId22" w:history="1">
        <w:r w:rsidRPr="00EE6C1C">
          <w:rPr>
            <w:rStyle w:val="Hyperlink"/>
            <w:szCs w:val="20"/>
          </w:rPr>
          <w:t>Zemkopības ministrija</w:t>
        </w:r>
      </w:hyperlink>
    </w:p>
    <w:p w14:paraId="3CB4F6A1" w14:textId="4EB2F156" w:rsidR="00381049" w:rsidRPr="00EE6C1C" w:rsidRDefault="00527D02" w:rsidP="00EE6C1C">
      <w:pPr>
        <w:pStyle w:val="NoSpacing"/>
        <w:rPr>
          <w:rFonts w:cs="Open Sans"/>
          <w:szCs w:val="20"/>
          <w:u w:val="single"/>
        </w:rPr>
      </w:pPr>
      <w:hyperlink r:id="rId23" w:history="1">
        <w:r w:rsidRPr="00EE6C1C">
          <w:rPr>
            <w:rStyle w:val="Hyperlink"/>
            <w:rFonts w:cs="Open Sans"/>
            <w:szCs w:val="20"/>
          </w:rPr>
          <w:t>Agroresursu un ekonomikas institūts</w:t>
        </w:r>
      </w:hyperlink>
      <w:r w:rsidRPr="00EE6C1C">
        <w:rPr>
          <w:rFonts w:cs="Open Sans"/>
          <w:szCs w:val="20"/>
          <w:u w:val="single"/>
        </w:rPr>
        <w:t xml:space="preserve"> 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2" w:name="_Toc70071554"/>
      <w:r>
        <w:t>Vai Pārvalde ievēro d</w:t>
      </w:r>
      <w:r w:rsidR="00CB2A49" w:rsidRPr="00C13E38">
        <w:t>atu konfidencialitāt</w:t>
      </w:r>
      <w:r>
        <w:t>i?</w:t>
      </w:r>
      <w:bookmarkEnd w:id="12"/>
    </w:p>
    <w:p w14:paraId="198A0E48" w14:textId="1B6097FD" w:rsidR="00326423" w:rsidRPr="00C13E38" w:rsidRDefault="00BC271B" w:rsidP="003B371D">
      <w:pPr>
        <w:pStyle w:val="ListParagraph"/>
        <w:ind w:left="1134"/>
      </w:pPr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326423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A513C7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3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3"/>
    </w:p>
    <w:p w14:paraId="02F83123" w14:textId="48349B11" w:rsidR="00B96FA5" w:rsidRDefault="00B96FA5" w:rsidP="008A257A">
      <w:pPr>
        <w:rPr>
          <w:rFonts w:cs="Times New Roman"/>
        </w:rPr>
      </w:pPr>
      <w:r>
        <w:rPr>
          <w:rFonts w:cs="Times New Roman"/>
        </w:rPr>
        <w:t xml:space="preserve">Pārvalde ievēro </w:t>
      </w:r>
      <w:r w:rsidRPr="00B96FA5">
        <w:rPr>
          <w:rFonts w:cs="Times New Roman"/>
        </w:rPr>
        <w:t>Vispārējo datu aizsardzības regulu</w:t>
      </w:r>
      <w:r>
        <w:rPr>
          <w:rFonts w:cs="Times New Roman"/>
        </w:rPr>
        <w:t>.</w:t>
      </w:r>
      <w:r w:rsidRPr="00B96FA5" w:rsidDel="00E015E5">
        <w:rPr>
          <w:rFonts w:cs="Times New Roman"/>
        </w:rPr>
        <w:t xml:space="preserve"> </w:t>
      </w:r>
    </w:p>
    <w:p w14:paraId="4BF34D59" w14:textId="43DDFBCF" w:rsidR="00C13E38" w:rsidRPr="00330A7E" w:rsidRDefault="00E27FF0" w:rsidP="008A257A">
      <w:pPr>
        <w:rPr>
          <w:rFonts w:cs="Times New Roman"/>
        </w:rPr>
      </w:pPr>
      <w:r>
        <w:rPr>
          <w:rFonts w:cs="Times New Roman"/>
        </w:rPr>
        <w:t>Pārvalde</w:t>
      </w:r>
      <w:r w:rsidR="00224592" w:rsidRPr="00C13E38">
        <w:rPr>
          <w:rFonts w:cs="Times New Roman"/>
        </w:rPr>
        <w:t xml:space="preserve"> piepras</w:t>
      </w:r>
      <w:r>
        <w:rPr>
          <w:rFonts w:cs="Times New Roman"/>
        </w:rPr>
        <w:t>a</w:t>
      </w:r>
      <w:r w:rsidR="00AB7715">
        <w:rPr>
          <w:rFonts w:cs="Times New Roman"/>
        </w:rPr>
        <w:t xml:space="preserve"> un apstrādā</w:t>
      </w:r>
      <w:r w:rsidR="00224592" w:rsidRPr="00C13E38">
        <w:rPr>
          <w:rFonts w:cs="Times New Roman"/>
        </w:rPr>
        <w:t xml:space="preserve"> datus saskaņā </w:t>
      </w:r>
      <w:r w:rsidR="00224592" w:rsidRPr="00C2402B">
        <w:rPr>
          <w:rFonts w:cs="Times New Roman"/>
          <w:szCs w:val="20"/>
        </w:rPr>
        <w:t xml:space="preserve">ar </w:t>
      </w:r>
      <w:hyperlink r:id="rId24" w:history="1">
        <w:r w:rsidR="00953091" w:rsidRPr="00EE6C1C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EE6C1C">
        <w:rPr>
          <w:rFonts w:cs="Times New Roman"/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EE6C1C">
        <w:rPr>
          <w:rFonts w:cs="Times New Roman"/>
          <w:sz w:val="24"/>
          <w:szCs w:val="24"/>
        </w:rPr>
        <w:t xml:space="preserve"> </w:t>
      </w:r>
      <w:r w:rsidR="00953091" w:rsidRPr="00330A7E">
        <w:rPr>
          <w:rFonts w:cs="Times New Roman"/>
        </w:rPr>
        <w:t>6. panta 1. punkta</w:t>
      </w:r>
      <w:r w:rsidR="00453416">
        <w:rPr>
          <w:rFonts w:cs="Times New Roman"/>
        </w:rPr>
        <w:t xml:space="preserve"> </w:t>
      </w:r>
      <w:r w:rsidR="00453416" w:rsidRPr="000557AC">
        <w:rPr>
          <w:rFonts w:cs="Times New Roman"/>
        </w:rPr>
        <w:t>c) un</w:t>
      </w:r>
      <w:r w:rsidR="00953091" w:rsidRPr="00330A7E">
        <w:rPr>
          <w:rFonts w:cs="Times New Roman"/>
        </w:rPr>
        <w:t xml:space="preserve"> e) apakšpunktu un 89. panta 1. un 2. punktu</w:t>
      </w:r>
      <w:r w:rsidR="00AB7715" w:rsidRPr="00330A7E">
        <w:rPr>
          <w:rFonts w:cs="Times New Roman"/>
        </w:rPr>
        <w:t xml:space="preserve"> normatīvajos aktos noteikto uzdevumu</w:t>
      </w:r>
      <w:r w:rsidR="00B46F2F" w:rsidRPr="00330A7E">
        <w:rPr>
          <w:rFonts w:cs="Times New Roman"/>
        </w:rPr>
        <w:t xml:space="preserve"> </w:t>
      </w:r>
      <w:r w:rsidR="00B46F2F" w:rsidRPr="001A109C">
        <w:rPr>
          <w:rFonts w:cs="Times New Roman"/>
        </w:rPr>
        <w:t>izpildei</w:t>
      </w:r>
      <w:r w:rsidR="00E67BC6" w:rsidRPr="001A109C">
        <w:rPr>
          <w:rFonts w:cs="Times New Roman"/>
        </w:rPr>
        <w:t xml:space="preserve"> vai sabiedrības interesēs.</w:t>
      </w:r>
    </w:p>
    <w:p w14:paraId="70603B09" w14:textId="186962A0" w:rsidR="003931BD" w:rsidRPr="00C2402B" w:rsidRDefault="00E015E5" w:rsidP="00A513C7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lastRenderedPageBreak/>
        <w:t>Vairāk par informācijas drošību un datu aizsardzību var atrast Pārvaldes mājaslapā:</w:t>
      </w:r>
      <w:hyperlink r:id="rId25" w:history="1">
        <w:r w:rsidR="0092464A" w:rsidRPr="00EC41F9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52740510" o:spid="_x0000_i1026" type="#_x0000_t75" style="width:1in;height:70.5pt;visibility:visible;mso-wrap-style:square" o:bullet="t">
        <v:imagedata r:id="rId1" o:title="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5C020F9"/>
    <w:multiLevelType w:val="hybridMultilevel"/>
    <w:tmpl w:val="0FF212CA"/>
    <w:lvl w:ilvl="0" w:tplc="1EE80832">
      <w:numFmt w:val="bullet"/>
      <w:lvlText w:val=""/>
      <w:lvlJc w:val="left"/>
      <w:pPr>
        <w:ind w:left="2138" w:hanging="360"/>
      </w:pPr>
      <w:rPr>
        <w:rFonts w:ascii="Wingdings" w:eastAsia="Calibri" w:hAnsi="Wingdings" w:cs="Times New Roman" w:hint="default"/>
        <w:color w:val="A6A6A6" w:themeColor="background1" w:themeShade="A6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6F3F10"/>
    <w:multiLevelType w:val="hybridMultilevel"/>
    <w:tmpl w:val="2750A184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9CC49372">
      <w:numFmt w:val="bullet"/>
      <w:lvlText w:val=""/>
      <w:lvlJc w:val="left"/>
      <w:pPr>
        <w:ind w:left="1637" w:hanging="360"/>
      </w:pPr>
      <w:rPr>
        <w:rFonts w:ascii="Wingdings" w:eastAsiaTheme="minorHAnsi" w:hAnsi="Wingdings" w:cs="Times New Roman" w:hint="default"/>
        <w:color w:val="009999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F85EFA"/>
    <w:multiLevelType w:val="hybridMultilevel"/>
    <w:tmpl w:val="F9247AD4"/>
    <w:lvl w:ilvl="0" w:tplc="6592018C">
      <w:numFmt w:val="bullet"/>
      <w:lvlText w:val=""/>
      <w:lvlJc w:val="left"/>
      <w:pPr>
        <w:ind w:left="128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778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0713837"/>
    <w:multiLevelType w:val="hybridMultilevel"/>
    <w:tmpl w:val="94200BD4"/>
    <w:lvl w:ilvl="0" w:tplc="6592018C">
      <w:numFmt w:val="bullet"/>
      <w:lvlText w:val=""/>
      <w:lvlJc w:val="left"/>
      <w:pPr>
        <w:ind w:left="1778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490513A"/>
    <w:multiLevelType w:val="hybridMultilevel"/>
    <w:tmpl w:val="D61A1D3A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9CC49372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C3231"/>
    <w:multiLevelType w:val="hybridMultilevel"/>
    <w:tmpl w:val="6D1094CC"/>
    <w:lvl w:ilvl="0" w:tplc="6592018C">
      <w:numFmt w:val="bullet"/>
      <w:lvlText w:val=""/>
      <w:lvlJc w:val="left"/>
      <w:pPr>
        <w:ind w:left="210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9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3" w15:restartNumberingAfterBreak="0">
    <w:nsid w:val="797003C3"/>
    <w:multiLevelType w:val="hybridMultilevel"/>
    <w:tmpl w:val="F4C0FA46"/>
    <w:lvl w:ilvl="0" w:tplc="6592018C">
      <w:numFmt w:val="bullet"/>
      <w:lvlText w:val=""/>
      <w:lvlJc w:val="left"/>
      <w:pPr>
        <w:ind w:left="1854" w:hanging="360"/>
      </w:pPr>
      <w:rPr>
        <w:rFonts w:ascii="Wingdings" w:eastAsia="Calibr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56125387">
    <w:abstractNumId w:val="16"/>
  </w:num>
  <w:num w:numId="2" w16cid:durableId="1863127795">
    <w:abstractNumId w:val="32"/>
  </w:num>
  <w:num w:numId="3" w16cid:durableId="2042901806">
    <w:abstractNumId w:val="21"/>
  </w:num>
  <w:num w:numId="4" w16cid:durableId="118306143">
    <w:abstractNumId w:val="22"/>
  </w:num>
  <w:num w:numId="5" w16cid:durableId="2000695514">
    <w:abstractNumId w:val="34"/>
  </w:num>
  <w:num w:numId="6" w16cid:durableId="359743678">
    <w:abstractNumId w:val="31"/>
  </w:num>
  <w:num w:numId="7" w16cid:durableId="1340817264">
    <w:abstractNumId w:val="16"/>
  </w:num>
  <w:num w:numId="8" w16cid:durableId="615604108">
    <w:abstractNumId w:val="16"/>
  </w:num>
  <w:num w:numId="9" w16cid:durableId="784495199">
    <w:abstractNumId w:val="16"/>
  </w:num>
  <w:num w:numId="10" w16cid:durableId="676152084">
    <w:abstractNumId w:val="16"/>
  </w:num>
  <w:num w:numId="11" w16cid:durableId="1446803261">
    <w:abstractNumId w:val="0"/>
  </w:num>
  <w:num w:numId="12" w16cid:durableId="205218963">
    <w:abstractNumId w:val="21"/>
  </w:num>
  <w:num w:numId="13" w16cid:durableId="191311031">
    <w:abstractNumId w:val="10"/>
  </w:num>
  <w:num w:numId="14" w16cid:durableId="1794208415">
    <w:abstractNumId w:val="5"/>
  </w:num>
  <w:num w:numId="15" w16cid:durableId="763572493">
    <w:abstractNumId w:val="19"/>
  </w:num>
  <w:num w:numId="16" w16cid:durableId="260526229">
    <w:abstractNumId w:val="2"/>
  </w:num>
  <w:num w:numId="17" w16cid:durableId="688024424">
    <w:abstractNumId w:val="22"/>
  </w:num>
  <w:num w:numId="18" w16cid:durableId="1411586254">
    <w:abstractNumId w:val="22"/>
  </w:num>
  <w:num w:numId="19" w16cid:durableId="875889763">
    <w:abstractNumId w:val="8"/>
  </w:num>
  <w:num w:numId="20" w16cid:durableId="28338147">
    <w:abstractNumId w:val="35"/>
  </w:num>
  <w:num w:numId="21" w16cid:durableId="17899103">
    <w:abstractNumId w:val="9"/>
  </w:num>
  <w:num w:numId="22" w16cid:durableId="525408391">
    <w:abstractNumId w:val="24"/>
  </w:num>
  <w:num w:numId="23" w16cid:durableId="1814176844">
    <w:abstractNumId w:val="3"/>
  </w:num>
  <w:num w:numId="24" w16cid:durableId="1551723782">
    <w:abstractNumId w:val="7"/>
  </w:num>
  <w:num w:numId="25" w16cid:durableId="2097480380">
    <w:abstractNumId w:val="1"/>
  </w:num>
  <w:num w:numId="26" w16cid:durableId="984240188">
    <w:abstractNumId w:val="29"/>
  </w:num>
  <w:num w:numId="27" w16cid:durableId="1876623415">
    <w:abstractNumId w:val="17"/>
  </w:num>
  <w:num w:numId="28" w16cid:durableId="1908686694">
    <w:abstractNumId w:val="6"/>
  </w:num>
  <w:num w:numId="29" w16cid:durableId="1073314188">
    <w:abstractNumId w:val="15"/>
  </w:num>
  <w:num w:numId="30" w16cid:durableId="954335492">
    <w:abstractNumId w:val="26"/>
  </w:num>
  <w:num w:numId="31" w16cid:durableId="1747336283">
    <w:abstractNumId w:val="27"/>
  </w:num>
  <w:num w:numId="32" w16cid:durableId="2101637204">
    <w:abstractNumId w:val="13"/>
  </w:num>
  <w:num w:numId="33" w16cid:durableId="635454325">
    <w:abstractNumId w:val="30"/>
  </w:num>
  <w:num w:numId="34" w16cid:durableId="1924558709">
    <w:abstractNumId w:val="20"/>
  </w:num>
  <w:num w:numId="35" w16cid:durableId="1137456480">
    <w:abstractNumId w:val="11"/>
  </w:num>
  <w:num w:numId="36" w16cid:durableId="1629119586">
    <w:abstractNumId w:val="12"/>
  </w:num>
  <w:num w:numId="37" w16cid:durableId="581842189">
    <w:abstractNumId w:val="18"/>
  </w:num>
  <w:num w:numId="38" w16cid:durableId="944577095">
    <w:abstractNumId w:val="33"/>
  </w:num>
  <w:num w:numId="39" w16cid:durableId="497690528">
    <w:abstractNumId w:val="4"/>
  </w:num>
  <w:num w:numId="40" w16cid:durableId="1964774093">
    <w:abstractNumId w:val="23"/>
  </w:num>
  <w:num w:numId="41" w16cid:durableId="1437940161">
    <w:abstractNumId w:val="14"/>
  </w:num>
  <w:num w:numId="42" w16cid:durableId="575282283">
    <w:abstractNumId w:val="25"/>
  </w:num>
  <w:num w:numId="43" w16cid:durableId="202382078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06BC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C1A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64982"/>
    <w:rsid w:val="0017189E"/>
    <w:rsid w:val="0017793C"/>
    <w:rsid w:val="00183189"/>
    <w:rsid w:val="00185C8C"/>
    <w:rsid w:val="001A097E"/>
    <w:rsid w:val="001A109C"/>
    <w:rsid w:val="001A224E"/>
    <w:rsid w:val="001A2590"/>
    <w:rsid w:val="001A688F"/>
    <w:rsid w:val="001C16C9"/>
    <w:rsid w:val="001D0325"/>
    <w:rsid w:val="001D5F49"/>
    <w:rsid w:val="001D7966"/>
    <w:rsid w:val="001E7D4C"/>
    <w:rsid w:val="001F09D2"/>
    <w:rsid w:val="001F18B1"/>
    <w:rsid w:val="001F29F5"/>
    <w:rsid w:val="001F6F0A"/>
    <w:rsid w:val="00214288"/>
    <w:rsid w:val="002148CE"/>
    <w:rsid w:val="00224592"/>
    <w:rsid w:val="00235E57"/>
    <w:rsid w:val="00236B6C"/>
    <w:rsid w:val="00237DA7"/>
    <w:rsid w:val="00237DD4"/>
    <w:rsid w:val="00242D2B"/>
    <w:rsid w:val="002433A0"/>
    <w:rsid w:val="002459A2"/>
    <w:rsid w:val="00247426"/>
    <w:rsid w:val="00250C9F"/>
    <w:rsid w:val="002643FB"/>
    <w:rsid w:val="00267618"/>
    <w:rsid w:val="00272D5E"/>
    <w:rsid w:val="00277A94"/>
    <w:rsid w:val="00281536"/>
    <w:rsid w:val="002846AB"/>
    <w:rsid w:val="002853F9"/>
    <w:rsid w:val="00286095"/>
    <w:rsid w:val="002939D6"/>
    <w:rsid w:val="00294A06"/>
    <w:rsid w:val="00295E5A"/>
    <w:rsid w:val="00295E72"/>
    <w:rsid w:val="002A3100"/>
    <w:rsid w:val="002B6B78"/>
    <w:rsid w:val="002C0D91"/>
    <w:rsid w:val="002C65B1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1448"/>
    <w:rsid w:val="003577DD"/>
    <w:rsid w:val="0036530A"/>
    <w:rsid w:val="00371166"/>
    <w:rsid w:val="00376B82"/>
    <w:rsid w:val="00380079"/>
    <w:rsid w:val="00381049"/>
    <w:rsid w:val="00381997"/>
    <w:rsid w:val="003859DE"/>
    <w:rsid w:val="003931BD"/>
    <w:rsid w:val="003A051D"/>
    <w:rsid w:val="003A585F"/>
    <w:rsid w:val="003B20EA"/>
    <w:rsid w:val="003B371D"/>
    <w:rsid w:val="003B4CE5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81A"/>
    <w:rsid w:val="00501FAD"/>
    <w:rsid w:val="0050467E"/>
    <w:rsid w:val="00507C48"/>
    <w:rsid w:val="005128D7"/>
    <w:rsid w:val="0051672D"/>
    <w:rsid w:val="00520182"/>
    <w:rsid w:val="00521B79"/>
    <w:rsid w:val="00521EE7"/>
    <w:rsid w:val="00527D02"/>
    <w:rsid w:val="00533316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34C4"/>
    <w:rsid w:val="005C7232"/>
    <w:rsid w:val="005D5B45"/>
    <w:rsid w:val="005E19EE"/>
    <w:rsid w:val="005E6C2A"/>
    <w:rsid w:val="005F59DA"/>
    <w:rsid w:val="00614F40"/>
    <w:rsid w:val="00622D1C"/>
    <w:rsid w:val="006250E7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2095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025B"/>
    <w:rsid w:val="0071552F"/>
    <w:rsid w:val="00720CA7"/>
    <w:rsid w:val="00723FD2"/>
    <w:rsid w:val="007277EC"/>
    <w:rsid w:val="007363C3"/>
    <w:rsid w:val="00736EBB"/>
    <w:rsid w:val="00744522"/>
    <w:rsid w:val="00745BA5"/>
    <w:rsid w:val="00745FF1"/>
    <w:rsid w:val="0074635F"/>
    <w:rsid w:val="0074728D"/>
    <w:rsid w:val="00753B61"/>
    <w:rsid w:val="007548D2"/>
    <w:rsid w:val="00755138"/>
    <w:rsid w:val="00755C9F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018F"/>
    <w:rsid w:val="00813119"/>
    <w:rsid w:val="00824B4C"/>
    <w:rsid w:val="00830A20"/>
    <w:rsid w:val="0083477B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258D"/>
    <w:rsid w:val="008C6BF3"/>
    <w:rsid w:val="008D5589"/>
    <w:rsid w:val="008E2A65"/>
    <w:rsid w:val="008E5EC4"/>
    <w:rsid w:val="008F270E"/>
    <w:rsid w:val="008F7FBA"/>
    <w:rsid w:val="00904A4C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3EA8"/>
    <w:rsid w:val="00985AD3"/>
    <w:rsid w:val="00987908"/>
    <w:rsid w:val="009879D5"/>
    <w:rsid w:val="009915D4"/>
    <w:rsid w:val="009A118F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6DB3"/>
    <w:rsid w:val="009D7063"/>
    <w:rsid w:val="009E389F"/>
    <w:rsid w:val="009E775F"/>
    <w:rsid w:val="00A00EEF"/>
    <w:rsid w:val="00A20E4A"/>
    <w:rsid w:val="00A23131"/>
    <w:rsid w:val="00A308B3"/>
    <w:rsid w:val="00A33DCE"/>
    <w:rsid w:val="00A43C7C"/>
    <w:rsid w:val="00A45054"/>
    <w:rsid w:val="00A513C7"/>
    <w:rsid w:val="00A57C84"/>
    <w:rsid w:val="00A6736D"/>
    <w:rsid w:val="00A75066"/>
    <w:rsid w:val="00A759F5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AF57F6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771"/>
    <w:rsid w:val="00B67B3C"/>
    <w:rsid w:val="00B72140"/>
    <w:rsid w:val="00B75F87"/>
    <w:rsid w:val="00B76BEC"/>
    <w:rsid w:val="00B83C0A"/>
    <w:rsid w:val="00B90CD3"/>
    <w:rsid w:val="00B94884"/>
    <w:rsid w:val="00B96FA5"/>
    <w:rsid w:val="00B973C4"/>
    <w:rsid w:val="00BB01A1"/>
    <w:rsid w:val="00BB0260"/>
    <w:rsid w:val="00BB05F2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E556D"/>
    <w:rsid w:val="00BF42FC"/>
    <w:rsid w:val="00BF5F08"/>
    <w:rsid w:val="00BF799B"/>
    <w:rsid w:val="00C12CDF"/>
    <w:rsid w:val="00C13E38"/>
    <w:rsid w:val="00C172E4"/>
    <w:rsid w:val="00C215BF"/>
    <w:rsid w:val="00C2402B"/>
    <w:rsid w:val="00C24C35"/>
    <w:rsid w:val="00C24CD3"/>
    <w:rsid w:val="00C33951"/>
    <w:rsid w:val="00C34E6F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D01CA9"/>
    <w:rsid w:val="00D0379C"/>
    <w:rsid w:val="00D048E5"/>
    <w:rsid w:val="00D1098F"/>
    <w:rsid w:val="00D122BE"/>
    <w:rsid w:val="00D20956"/>
    <w:rsid w:val="00D25CB9"/>
    <w:rsid w:val="00D423E8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1AD"/>
    <w:rsid w:val="00D75373"/>
    <w:rsid w:val="00D75784"/>
    <w:rsid w:val="00D7703F"/>
    <w:rsid w:val="00DA22A5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014C"/>
    <w:rsid w:val="00EA335B"/>
    <w:rsid w:val="00EA36BA"/>
    <w:rsid w:val="00EA4B49"/>
    <w:rsid w:val="00EA5809"/>
    <w:rsid w:val="00EA58A8"/>
    <w:rsid w:val="00EB2E60"/>
    <w:rsid w:val="00EC3C96"/>
    <w:rsid w:val="00EC3CE4"/>
    <w:rsid w:val="00EC3D01"/>
    <w:rsid w:val="00EE67AC"/>
    <w:rsid w:val="00EE6C1C"/>
    <w:rsid w:val="00F03204"/>
    <w:rsid w:val="00F07747"/>
    <w:rsid w:val="00F07BA1"/>
    <w:rsid w:val="00F12A5E"/>
    <w:rsid w:val="00F2551E"/>
    <w:rsid w:val="00F25C60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935B7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D39B5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C1C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6C1C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ind w:left="1854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reg/2022/2379/oj/?locale=LV" TargetMode="External"/><Relationship Id="rId13" Type="http://schemas.openxmlformats.org/officeDocument/2006/relationships/hyperlink" Target="https://eur-lex.europa.eu/eli/reg/2004/138/oj/?locale=LV" TargetMode="External"/><Relationship Id="rId18" Type="http://schemas.openxmlformats.org/officeDocument/2006/relationships/hyperlink" Target="https://data.stat.gov.lv/pxweb/lv/OSP_PUB/START__NOZ__LA__LAC/LAC03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c.europa.eu/eurostat/data/database" TargetMode="Externa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eur-lex.europa.eu/legal-content/LV/TXT/PDF/?uri=CELEX:32023R1579" TargetMode="External"/><Relationship Id="rId17" Type="http://schemas.openxmlformats.org/officeDocument/2006/relationships/hyperlink" Target="https://data.stat.gov.lv/pxweb/lv/OSP_PUB/START__NOZ__LA__LAC/LAC020" TargetMode="External"/><Relationship Id="rId25" Type="http://schemas.openxmlformats.org/officeDocument/2006/relationships/hyperlink" Target="https://www.csp.gov.lv/lv/informacijas-drosiba-un-datu-aizsardzi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.gov.lv/lv/statistikas-temas/noz/lauksaimn/tabulas/lag101-puku-ogulaju-auglu-un-dekorativo-koku-un-krumu-stadu?themeCode=LA" TargetMode="External"/><Relationship Id="rId20" Type="http://schemas.openxmlformats.org/officeDocument/2006/relationships/hyperlink" Target="https://stat.gov.lv/lv/meklet?DataSource=%22publications%22&amp;Themes=%222373%22&amp;PublicationType=%5B%22publication%22%5D&amp;sortBy=date&amp;Search=%22lauksaimniec%C4%ABba%2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eur-lex.europa.eu/eli/reg_impl/2023/1538/oj/?locale=LV" TargetMode="External"/><Relationship Id="rId24" Type="http://schemas.openxmlformats.org/officeDocument/2006/relationships/hyperlink" Target="https://eur-lex.europa.eu/legal-content/LV/TXT/?uri=celex%3A32016R06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t.gov.lv/lv/statistikas-temas/noz/lauksaimn/tabulas/lag101-puku-ogulaju-auglu-un-dekorativo-koku-un-krumu-stadu?themeCode=LA" TargetMode="External"/><Relationship Id="rId23" Type="http://schemas.openxmlformats.org/officeDocument/2006/relationships/hyperlink" Target="https://www.arei.lv/lv" TargetMode="External"/><Relationship Id="rId10" Type="http://schemas.openxmlformats.org/officeDocument/2006/relationships/hyperlink" Target="https://likumi.lv/ta/id/274749" TargetMode="External"/><Relationship Id="rId19" Type="http://schemas.openxmlformats.org/officeDocument/2006/relationships/hyperlink" Target="https://data.stat.gov.lv/pxweb/lv/OSP_PUB/START__NOZ__LA__LAC/LAC030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eli/reg_impl/2023/1538/oj/?locale=LV" TargetMode="External"/><Relationship Id="rId14" Type="http://schemas.openxmlformats.org/officeDocument/2006/relationships/hyperlink" Target="https://likumi.lv/ta/id/287576-oficialas-statistikas-veidlapu-paraugu-apstiprinasanas-un-veidlapu-aizpildisanas-un-iesniegsanas-noteikumi" TargetMode="External"/><Relationship Id="rId22" Type="http://schemas.openxmlformats.org/officeDocument/2006/relationships/hyperlink" Target="https://www.zm.gov.lv/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5500</Words>
  <Characters>3136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Lolita Lazda-Lazdina</cp:lastModifiedBy>
  <cp:revision>23</cp:revision>
  <cp:lastPrinted>2024-11-29T10:42:00Z</cp:lastPrinted>
  <dcterms:created xsi:type="dcterms:W3CDTF">2024-05-31T08:12:00Z</dcterms:created>
  <dcterms:modified xsi:type="dcterms:W3CDTF">2025-09-05T12:22:00Z</dcterms:modified>
</cp:coreProperties>
</file>