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4CC852B4" w:rsidR="0051672D" w:rsidRPr="00883277" w:rsidRDefault="009D4F8F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piena produktu pārstrādi” (1-r(piens)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343F9693" w14:textId="24697C71" w:rsidR="002D56CD" w:rsidRDefault="009404C8" w:rsidP="002D56CD">
      <w:r w:rsidRPr="009404C8">
        <w:t xml:space="preserve">Pārvalde lūdz iesniegt datus, lai nodrošinātu lietotāju vajadzības, kas definētas </w:t>
      </w:r>
      <w:hyperlink r:id="rId7" w:history="1">
        <w:r w:rsidRPr="002D56CD">
          <w:rPr>
            <w:rStyle w:val="Hyperlink"/>
            <w:rFonts w:cs="Verdana"/>
            <w:szCs w:val="20"/>
          </w:rPr>
          <w:t>Oficiālās statistikas programmas</w:t>
        </w:r>
      </w:hyperlink>
      <w:r w:rsidRPr="002D56CD">
        <w:t xml:space="preserve"> </w:t>
      </w:r>
      <w:r w:rsidRPr="009404C8">
        <w:t xml:space="preserve">pielikuma </w:t>
      </w:r>
      <w:r w:rsidR="002D56CD" w:rsidRPr="00A46D52">
        <w:rPr>
          <w:szCs w:val="20"/>
        </w:rPr>
        <w:t>16. punktā (Lauksaimniecības statistika)</w:t>
      </w:r>
      <w:r w:rsidR="002D56CD">
        <w:rPr>
          <w:szCs w:val="20"/>
        </w:rPr>
        <w:t>.</w:t>
      </w:r>
    </w:p>
    <w:p w14:paraId="56E7DFCC" w14:textId="3778E421" w:rsidR="009D4F8F" w:rsidRDefault="009D4F8F" w:rsidP="009D4F8F">
      <w:r>
        <w:t xml:space="preserve">Piena nozare ir vēsturiski nozīmīga Latvijā un </w:t>
      </w:r>
      <w:r w:rsidR="008D3A00">
        <w:t>ikviena</w:t>
      </w:r>
      <w:r>
        <w:t xml:space="preserve"> uzņēmuma sniegtie dati sniedz būtisku ieguldījumu </w:t>
      </w:r>
      <w:r>
        <w:rPr>
          <w:rFonts w:cs="Open Sans"/>
        </w:rPr>
        <w:t>piena produktu ražošanas, piena pārstrādes apjoma un izlietojuma statistikas nodrošināšanai, kas kalpo lauksaimniecības</w:t>
      </w:r>
      <w:r>
        <w:t xml:space="preserve"> nozares analīzei un lēmumu pieņemšanai lauksaimniecības un lauku attīstības politikai Latvijā, Eiropas Savienībā, kā arī Kopējās lauksaimniecības politikas, īpaši </w:t>
      </w:r>
      <w:r>
        <w:rPr>
          <w:rFonts w:cs="Open Sans"/>
        </w:rPr>
        <w:t xml:space="preserve"> piena sektora</w:t>
      </w:r>
      <w:r>
        <w:t xml:space="preserve"> attīstības novērtējumam un analīzei.</w:t>
      </w:r>
    </w:p>
    <w:p w14:paraId="1881898D" w14:textId="77777777" w:rsidR="009D4F8F" w:rsidRDefault="009D4F8F" w:rsidP="009D4F8F">
      <w:r>
        <w:t>Apsekojumā iegūtos kopsavilkuma datus izmanto arī:</w:t>
      </w:r>
    </w:p>
    <w:p w14:paraId="3C86A40A" w14:textId="43489F4D" w:rsidR="009D4F8F" w:rsidRDefault="009D4F8F" w:rsidP="002D56CD">
      <w:pPr>
        <w:pStyle w:val="NoSpacing"/>
      </w:pPr>
      <w:r>
        <w:t>Zemkopības ministrija nozares stratēģijas un politikas dokumentu sagatavošanai un Lauksaimniecības gada ziņojumu sagatavošanai;</w:t>
      </w:r>
    </w:p>
    <w:p w14:paraId="144FE7DB" w14:textId="77777777" w:rsidR="009D4F8F" w:rsidRDefault="009D4F8F" w:rsidP="002D56CD">
      <w:pPr>
        <w:pStyle w:val="NoSpacing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Piena un piena produktu bilanču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bookmarkStart w:id="3" w:name="_Hlk168051769"/>
    <w:p w14:paraId="6254A77C" w14:textId="321DC5F6" w:rsidR="00B41AFF" w:rsidRPr="00EF103B" w:rsidRDefault="00B41AFF" w:rsidP="00B41AFF">
      <w:pPr>
        <w:pStyle w:val="NoSpacing"/>
        <w:rPr>
          <w:shd w:val="clear" w:color="auto" w:fill="FFFFFF"/>
        </w:rPr>
      </w:pPr>
      <w:r>
        <w:fldChar w:fldCharType="begin"/>
      </w:r>
      <w:r>
        <w:instrText>HYPERLINK "https://eur-lex.europa.eu/eli/reg/2022/2379/oj/?locale=LV"</w:instrText>
      </w:r>
      <w:r>
        <w:fldChar w:fldCharType="separate"/>
      </w:r>
      <w:r w:rsidRPr="00903D76">
        <w:rPr>
          <w:rStyle w:val="Hyperlink"/>
        </w:rPr>
        <w:t>Eiropas Parlamenta un Padomes Regula</w:t>
      </w:r>
      <w:r>
        <w:rPr>
          <w:rStyle w:val="Hyperlink"/>
        </w:rPr>
        <w:t>s</w:t>
      </w:r>
      <w:r w:rsidRPr="00903D76">
        <w:rPr>
          <w:rStyle w:val="Hyperlink"/>
        </w:rPr>
        <w:t xml:space="preserve"> (ES) 2022/2379</w:t>
      </w:r>
      <w:r>
        <w:fldChar w:fldCharType="end"/>
      </w:r>
      <w:r>
        <w:t xml:space="preserve"> </w:t>
      </w:r>
      <w:r w:rsidRPr="007761A9">
        <w:rPr>
          <w:color w:val="333333"/>
          <w:szCs w:val="20"/>
          <w:shd w:val="clear" w:color="auto" w:fill="FFFFFF"/>
        </w:rPr>
        <w:t>(2022. gada 23. novembris) par statistiku par lauksaimniecības ielaidi un izlaidi</w:t>
      </w:r>
      <w:r>
        <w:rPr>
          <w:color w:val="333333"/>
          <w:szCs w:val="20"/>
          <w:shd w:val="clear" w:color="auto" w:fill="FFFFFF"/>
        </w:rPr>
        <w:t xml:space="preserve"> </w:t>
      </w:r>
      <w:r w:rsidRPr="00B41AFF">
        <w:rPr>
          <w:color w:val="333333"/>
          <w:szCs w:val="20"/>
          <w:shd w:val="clear" w:color="auto" w:fill="FFFFFF"/>
        </w:rPr>
        <w:t>un ar ko groza Komisijas Regulu (EK) Nr. 617/2008 un atceļ Eiropa Parlamenta un Padomes Regulas (EK) Nr. 1165/2008, (EK) Nr. 543/2009 un (EK) Nr. 1185/2009 un Padomes Direktīvu 96/16/EK (Dokuments attiecas uz EEZ)</w:t>
      </w:r>
      <w:r>
        <w:rPr>
          <w:color w:val="333333"/>
          <w:szCs w:val="20"/>
          <w:shd w:val="clear" w:color="auto" w:fill="FFFFFF"/>
        </w:rPr>
        <w:t>;</w:t>
      </w:r>
    </w:p>
    <w:bookmarkStart w:id="4" w:name="_Hlk168059380"/>
    <w:bookmarkStart w:id="5" w:name="_Hlk168051822"/>
    <w:bookmarkEnd w:id="3"/>
    <w:p w14:paraId="5C9737AF" w14:textId="3FD82EA1" w:rsidR="00B41AFF" w:rsidRPr="00B41AFF" w:rsidRDefault="00B41AFF" w:rsidP="00B41AFF">
      <w:pPr>
        <w:pStyle w:val="NoSpacing"/>
        <w:rPr>
          <w:shd w:val="clear" w:color="auto" w:fill="FFFFFF"/>
        </w:rPr>
      </w:pPr>
      <w:r>
        <w:fldChar w:fldCharType="begin"/>
      </w:r>
      <w:r>
        <w:instrText>HYPERLINK "https://eur-lex.europa.eu/legal-content/LV/TXT/?uri=CELEX%3A32023R2745&amp;qid=1717147826340"</w:instrText>
      </w:r>
      <w:r>
        <w:fldChar w:fldCharType="separate"/>
      </w:r>
      <w:r w:rsidRPr="000F1AAB">
        <w:rPr>
          <w:rStyle w:val="Hyperlink"/>
          <w:szCs w:val="20"/>
          <w:shd w:val="clear" w:color="auto" w:fill="FFFFFF"/>
        </w:rPr>
        <w:t>Komisijas</w:t>
      </w:r>
      <w:r>
        <w:rPr>
          <w:rStyle w:val="Hyperlink"/>
          <w:szCs w:val="20"/>
          <w:shd w:val="clear" w:color="auto" w:fill="FFFFFF"/>
        </w:rPr>
        <w:t xml:space="preserve"> </w:t>
      </w:r>
      <w:r w:rsidRPr="000F1AAB">
        <w:rPr>
          <w:rStyle w:val="Hyperlink"/>
          <w:szCs w:val="20"/>
          <w:shd w:val="clear" w:color="auto" w:fill="FFFFFF"/>
        </w:rPr>
        <w:t>Īstenošanas regula (ES) 2023/2745</w:t>
      </w:r>
      <w:r>
        <w:rPr>
          <w:rStyle w:val="Hyperlink"/>
          <w:szCs w:val="20"/>
          <w:shd w:val="clear" w:color="auto" w:fill="FFFFFF"/>
        </w:rPr>
        <w:fldChar w:fldCharType="end"/>
      </w:r>
      <w:r w:rsidRPr="000F1AAB">
        <w:rPr>
          <w:color w:val="333333"/>
          <w:szCs w:val="20"/>
          <w:shd w:val="clear" w:color="auto" w:fill="FFFFFF"/>
        </w:rPr>
        <w:t>(2023. gada 8. decembris), ar ko paredz noteikumus par to, kā Eiropas Parlamenta un Padomes Regulu (ES) 2022/2379 piemēro attiecībā uz lopkopības produkcijas statistiku</w:t>
      </w:r>
      <w:bookmarkEnd w:id="4"/>
      <w:r w:rsidRPr="000F1AAB">
        <w:rPr>
          <w:color w:val="333333"/>
          <w:szCs w:val="20"/>
          <w:shd w:val="clear" w:color="auto" w:fill="FFFFFF"/>
        </w:rPr>
        <w:t>.</w:t>
      </w:r>
      <w:bookmarkEnd w:id="5"/>
    </w:p>
    <w:p w14:paraId="0EA759E9" w14:textId="38AA2595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6" w:name="_Toc70071549"/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5BC4C1E6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2D56CD">
          <w:rPr>
            <w:rStyle w:val="Hyperlink"/>
            <w:rFonts w:cs="Times New Roman"/>
            <w:szCs w:val="20"/>
          </w:rPr>
          <w:t>Stat</w:t>
        </w:r>
        <w:r w:rsidR="00DC7EFA" w:rsidRPr="002D56CD">
          <w:rPr>
            <w:rStyle w:val="Hyperlink"/>
            <w:rFonts w:cs="Times New Roman"/>
            <w:szCs w:val="20"/>
          </w:rPr>
          <w:t>i</w:t>
        </w:r>
        <w:r w:rsidRPr="002D56CD">
          <w:rPr>
            <w:rStyle w:val="Hyperlink"/>
            <w:rFonts w:cs="Times New Roman"/>
            <w:szCs w:val="20"/>
          </w:rPr>
          <w:t>s</w:t>
        </w:r>
        <w:r w:rsidR="00DC7EFA" w:rsidRPr="002D56CD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584FBD34" w14:textId="2CFD3786" w:rsidR="00381049" w:rsidRDefault="009D4F8F" w:rsidP="00F914B8">
      <w:pPr>
        <w:pStyle w:val="NoSpacing"/>
        <w:numPr>
          <w:ilvl w:val="0"/>
          <w:numId w:val="0"/>
        </w:numPr>
        <w:ind w:left="1134"/>
      </w:pPr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8" w:name="_Toc70071551"/>
      <w:r>
        <w:t>Kam ir jāiesniedz dati?</w:t>
      </w:r>
      <w:bookmarkEnd w:id="8"/>
    </w:p>
    <w:p w14:paraId="71539DD3" w14:textId="447FAEDC" w:rsidR="00D20956" w:rsidRPr="00F33D0A" w:rsidRDefault="009D4F8F" w:rsidP="004652B7">
      <w:r>
        <w:t>Apsekojumā iekļauj visus ekonomiski aktīvos piena pārstrādes uzņēmumus, kuru pamatdarbība vai sekundārā darbība atbilst Saimniecisko darbību statistiskās klasifikācijas NACE 2.</w:t>
      </w:r>
      <w:r w:rsidR="00033568">
        <w:t>1.</w:t>
      </w:r>
      <w:r>
        <w:t xml:space="preserve"> red</w:t>
      </w:r>
      <w:r w:rsidR="0042289A">
        <w:t>akcijas</w:t>
      </w:r>
      <w:r w:rsidR="00033568">
        <w:t xml:space="preserve"> </w:t>
      </w:r>
      <w:r>
        <w:t>10.51 klasei "Piena p</w:t>
      </w:r>
      <w:r w:rsidR="00033568">
        <w:t xml:space="preserve">roduktu </w:t>
      </w:r>
      <w:r>
        <w:t>ražošana".</w:t>
      </w:r>
    </w:p>
    <w:p w14:paraId="530B1976" w14:textId="77777777" w:rsidR="00073FE6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bookmarkStart w:id="9" w:name="_Hlk73700911"/>
    <w:p w14:paraId="167FDEF2" w14:textId="77777777" w:rsidR="00247D1D" w:rsidRDefault="00247D1D" w:rsidP="00247D1D">
      <w:pPr>
        <w:pStyle w:val="NoSpacing"/>
      </w:pPr>
      <w:r>
        <w:fldChar w:fldCharType="begin"/>
      </w:r>
      <w:r>
        <w:instrText>HYPERLINK "https://eur-lex.europa.eu/legal-content/LV/TXT/?uri=CELEX%3A32023R2745&amp;qid=1717147826340"</w:instrText>
      </w:r>
      <w:r>
        <w:fldChar w:fldCharType="separate"/>
      </w:r>
      <w:r w:rsidRPr="00B63C86">
        <w:rPr>
          <w:rStyle w:val="Hyperlink"/>
        </w:rPr>
        <w:t>Komisijas Īstenošanas regula (ES) 2023/2745</w:t>
      </w:r>
      <w:r>
        <w:fldChar w:fldCharType="end"/>
      </w:r>
      <w:r w:rsidRPr="00B63C86">
        <w:t>(2023. gada 8. decembris), ar ko paredz noteikumus par to, kā Eiropas Parlamenta un Padomes Regulu (ES) 2022/2379 piemēro attiecībā uz lopkopības produkcijas statistiku</w:t>
      </w:r>
      <w:r w:rsidRPr="00B62DC4">
        <w:t xml:space="preserve"> </w:t>
      </w:r>
      <w:r w:rsidRPr="00F65E73">
        <w:t>2.</w:t>
      </w:r>
      <w:r>
        <w:t> </w:t>
      </w:r>
      <w:r w:rsidRPr="00F65E73">
        <w:t>pants</w:t>
      </w:r>
      <w:r>
        <w:t>;</w:t>
      </w:r>
    </w:p>
    <w:p w14:paraId="72BA2F9F" w14:textId="342ED64E" w:rsidR="00877013" w:rsidRDefault="00877013" w:rsidP="00877013">
      <w:pPr>
        <w:pStyle w:val="NoSpacing"/>
      </w:pPr>
      <w:hyperlink r:id="rId9" w:history="1">
        <w:r w:rsidRPr="00903D76">
          <w:rPr>
            <w:rStyle w:val="Hyperlink"/>
          </w:rPr>
          <w:t>Eiropas Parlamenta un Padomes Regula</w:t>
        </w:r>
        <w:r>
          <w:rPr>
            <w:rStyle w:val="Hyperlink"/>
          </w:rPr>
          <w:t>s</w:t>
        </w:r>
        <w:r w:rsidRPr="00903D76">
          <w:rPr>
            <w:rStyle w:val="Hyperlink"/>
          </w:rPr>
          <w:t xml:space="preserve"> (ES) 2022/2379</w:t>
        </w:r>
      </w:hyperlink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>
        <w:t xml:space="preserve">, </w:t>
      </w:r>
      <w:r w:rsidRPr="00903D76">
        <w:t>5. pants</w:t>
      </w:r>
      <w:r>
        <w:t>;</w:t>
      </w:r>
    </w:p>
    <w:p w14:paraId="40F9EFC4" w14:textId="54F369F2" w:rsidR="00073FE6" w:rsidRPr="00C13E38" w:rsidRDefault="00FD391F" w:rsidP="00073FE6">
      <w:pPr>
        <w:pStyle w:val="NoSpacing"/>
      </w:pPr>
      <w:hyperlink r:id="rId10" w:history="1">
        <w:r w:rsidRPr="00A611D9">
          <w:rPr>
            <w:rStyle w:val="Hyperlink"/>
          </w:rPr>
          <w:t>Ministru kabineta 2016. gada 20. decembra noteikumi</w:t>
        </w:r>
        <w:r>
          <w:rPr>
            <w:rStyle w:val="Hyperlink"/>
          </w:rPr>
          <w:t xml:space="preserve"> </w:t>
        </w:r>
        <w:r w:rsidRPr="00A611D9">
          <w:rPr>
            <w:rStyle w:val="Hyperlink"/>
          </w:rPr>
          <w:t>Nr. 812</w:t>
        </w:r>
      </w:hyperlink>
      <w:r w:rsidRPr="00A611D9">
        <w:t xml:space="preserve"> ”Oficiālās statistikas veidlapu paraugu apstiprināšanas un veidlapu aizpildīšanas un iesniegšanas noteikumi”.</w:t>
      </w:r>
      <w:bookmarkEnd w:id="9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0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0"/>
    </w:p>
    <w:p w14:paraId="0D192576" w14:textId="77777777" w:rsidR="009D4F8F" w:rsidRPr="002D56CD" w:rsidRDefault="009D4F8F" w:rsidP="002D56CD">
      <w:pPr>
        <w:pStyle w:val="NoSpacing"/>
      </w:pPr>
      <w:bookmarkStart w:id="11" w:name="_Toc40698654"/>
      <w:r w:rsidRPr="002D56CD">
        <w:t>Oficiālās statistikas portālā:</w:t>
      </w:r>
    </w:p>
    <w:p w14:paraId="18BED0CC" w14:textId="457FF68D" w:rsidR="009D4F8F" w:rsidRDefault="009D4F8F" w:rsidP="002D56CD">
      <w:pPr>
        <w:pStyle w:val="NoSpacing"/>
        <w:numPr>
          <w:ilvl w:val="1"/>
          <w:numId w:val="3"/>
        </w:numPr>
        <w:rPr>
          <w:rStyle w:val="Hyperlink"/>
          <w:rFonts w:cs="Times New Roman"/>
          <w:szCs w:val="20"/>
        </w:rPr>
      </w:pPr>
      <w:hyperlink r:id="rId11" w:history="1">
        <w:r w:rsidRPr="002D56CD">
          <w:rPr>
            <w:rStyle w:val="Hyperlink"/>
            <w:rFonts w:cs="Times New Roman"/>
            <w:szCs w:val="20"/>
          </w:rPr>
          <w:t>Piena produktu ražošana</w:t>
        </w:r>
      </w:hyperlink>
    </w:p>
    <w:p w14:paraId="59225504" w14:textId="4A446784" w:rsidR="00E478FC" w:rsidRPr="008954A0" w:rsidRDefault="00D0022D" w:rsidP="00E478FC">
      <w:pPr>
        <w:pStyle w:val="NoSpacing"/>
        <w:numPr>
          <w:ilvl w:val="1"/>
          <w:numId w:val="3"/>
        </w:numPr>
        <w:rPr>
          <w:rStyle w:val="Hyperlink"/>
        </w:rPr>
      </w:pPr>
      <w:r>
        <w:rPr>
          <w:rStyle w:val="Hyperlink"/>
          <w:color w:val="auto"/>
          <w:szCs w:val="20"/>
        </w:rPr>
        <w:t>Statistisko datu krājumā</w:t>
      </w:r>
      <w:r w:rsidR="00E478FC" w:rsidRPr="00B91016">
        <w:rPr>
          <w:rStyle w:val="Hyperlink"/>
          <w:color w:val="auto"/>
          <w:szCs w:val="20"/>
        </w:rPr>
        <w:t xml:space="preserve"> </w:t>
      </w:r>
      <w:r w:rsidR="008954A0">
        <w:rPr>
          <w:szCs w:val="20"/>
        </w:rPr>
        <w:fldChar w:fldCharType="begin"/>
      </w:r>
      <w:r>
        <w:rPr>
          <w:szCs w:val="20"/>
        </w:rPr>
        <w:instrText>HYPERLINK "https://stat.gov.lv/lv/meklet?Search=%22%22&amp;DataSource=%22publications%22&amp;PublicationType=%5B%22publication%22%5D&amp;Themes=%222371%22"</w:instrText>
      </w:r>
      <w:r>
        <w:rPr>
          <w:szCs w:val="20"/>
        </w:rPr>
      </w:r>
      <w:r w:rsidR="008954A0">
        <w:rPr>
          <w:szCs w:val="20"/>
        </w:rPr>
        <w:fldChar w:fldCharType="separate"/>
      </w:r>
      <w:r w:rsidR="00E478FC" w:rsidRPr="008954A0">
        <w:rPr>
          <w:rStyle w:val="Hyperlink"/>
          <w:szCs w:val="20"/>
        </w:rPr>
        <w:t>“Latvij</w:t>
      </w:r>
      <w:r w:rsidR="00E478FC" w:rsidRPr="008954A0">
        <w:rPr>
          <w:rStyle w:val="Hyperlink"/>
          <w:szCs w:val="20"/>
        </w:rPr>
        <w:t>a</w:t>
      </w:r>
      <w:r w:rsidR="00E478FC" w:rsidRPr="008954A0">
        <w:rPr>
          <w:rStyle w:val="Hyperlink"/>
          <w:szCs w:val="20"/>
        </w:rPr>
        <w:t>s lauksaimniecība”</w:t>
      </w:r>
    </w:p>
    <w:bookmarkStart w:id="12" w:name="_Hlk71730883"/>
    <w:p w14:paraId="6B5CED09" w14:textId="6F151452" w:rsidR="009D4F8F" w:rsidRPr="002D56CD" w:rsidRDefault="008954A0" w:rsidP="002D56CD">
      <w:pPr>
        <w:pStyle w:val="NoSpacing"/>
        <w:rPr>
          <w:color w:val="000000"/>
        </w:rPr>
      </w:pPr>
      <w:r>
        <w:rPr>
          <w:szCs w:val="20"/>
        </w:rPr>
        <w:fldChar w:fldCharType="end"/>
      </w:r>
      <w:r w:rsidR="002D56CD">
        <w:rPr>
          <w:rFonts w:cs="Verdana"/>
          <w:color w:val="000000"/>
          <w:szCs w:val="20"/>
        </w:rPr>
        <w:t>Eiropas Savienības Statistikas biroja (Eurostat) datubāz</w:t>
      </w:r>
      <w:bookmarkEnd w:id="12"/>
      <w:r w:rsidR="002D56CD">
        <w:rPr>
          <w:rFonts w:cs="Verdana"/>
          <w:color w:val="000000"/>
          <w:szCs w:val="20"/>
        </w:rPr>
        <w:t>ē</w:t>
      </w:r>
      <w:r w:rsidR="009D4F8F" w:rsidRPr="002D56CD">
        <w:rPr>
          <w:rFonts w:cs="Times New Roman"/>
          <w:color w:val="000000"/>
          <w:szCs w:val="20"/>
        </w:rPr>
        <w:t>:</w:t>
      </w:r>
    </w:p>
    <w:p w14:paraId="438F1029" w14:textId="3154B396" w:rsidR="00381049" w:rsidRPr="002D56CD" w:rsidRDefault="009D4F8F" w:rsidP="002D56CD">
      <w:pPr>
        <w:pStyle w:val="NoSpacing"/>
        <w:numPr>
          <w:ilvl w:val="1"/>
          <w:numId w:val="3"/>
        </w:numPr>
        <w:rPr>
          <w:rStyle w:val="Hyperlink"/>
        </w:rPr>
      </w:pPr>
      <w:hyperlink r:id="rId12" w:history="1">
        <w:r w:rsidRPr="002D56CD">
          <w:rPr>
            <w:rStyle w:val="Hyperlink"/>
            <w:rFonts w:cs="Times New Roman"/>
            <w:szCs w:val="20"/>
          </w:rPr>
          <w:t>Lauksaimniecības datu bāzes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3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1"/>
      <w:r>
        <w:t>?</w:t>
      </w:r>
      <w:bookmarkEnd w:id="13"/>
    </w:p>
    <w:p w14:paraId="3CB4F6A1" w14:textId="68C6C8C9" w:rsidR="00381049" w:rsidRPr="00A14590" w:rsidRDefault="009D4F8F" w:rsidP="002D56CD">
      <w:pPr>
        <w:pStyle w:val="NoSpacing"/>
        <w:rPr>
          <w:b/>
          <w:bCs/>
        </w:rPr>
      </w:pPr>
      <w:r w:rsidRPr="009D4F8F">
        <w:rPr>
          <w:bCs/>
          <w:color w:val="000000" w:themeColor="text1"/>
          <w:szCs w:val="20"/>
        </w:rPr>
        <w:t xml:space="preserve">Zemkopības ministrija </w:t>
      </w:r>
      <w:bookmarkStart w:id="14" w:name="_Hlk51664292"/>
      <w:r w:rsidRPr="00A14590">
        <w:rPr>
          <w:bCs/>
          <w:szCs w:val="20"/>
        </w:rPr>
        <w:t>(</w:t>
      </w:r>
      <w:hyperlink r:id="rId13" w:anchor="jump" w:history="1">
        <w:r w:rsidRPr="00A14590">
          <w:rPr>
            <w:rStyle w:val="Hyperlink"/>
            <w:bCs/>
            <w:szCs w:val="20"/>
          </w:rPr>
          <w:t>Lauksaimniecība</w:t>
        </w:r>
      </w:hyperlink>
      <w:r w:rsidRPr="00A14590">
        <w:rPr>
          <w:bCs/>
          <w:szCs w:val="20"/>
        </w:rPr>
        <w:t>)</w:t>
      </w:r>
      <w:bookmarkEnd w:id="14"/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1AB15DBA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4" w:history="1">
        <w:r w:rsidR="00953091" w:rsidRPr="002D56CD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2D56CD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2D56CD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5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22F52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70464546" o:spid="_x0000_i1025" type="#_x0000_t75" style="width:1in;height:70.5pt;visibility:visible;mso-wrap-style:square">
            <v:imagedata r:id="rId1" o:title=""/>
          </v:shape>
        </w:pict>
      </mc:Choice>
      <mc:Fallback>
        <w:drawing>
          <wp:inline distT="0" distB="0" distL="0" distR="0" wp14:anchorId="26C02A45" wp14:editId="35226B30">
            <wp:extent cx="914400" cy="895350"/>
            <wp:effectExtent l="0" t="0" r="0" b="0"/>
            <wp:docPr id="1770464546" name="Picture 1770464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7810F7D"/>
    <w:multiLevelType w:val="hybridMultilevel"/>
    <w:tmpl w:val="E86040BA"/>
    <w:lvl w:ilvl="0" w:tplc="6592018C">
      <w:numFmt w:val="bullet"/>
      <w:lvlText w:val=""/>
      <w:lvlJc w:val="left"/>
      <w:pPr>
        <w:ind w:left="136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A965FE8"/>
    <w:multiLevelType w:val="hybridMultilevel"/>
    <w:tmpl w:val="3AA078CC"/>
    <w:lvl w:ilvl="0" w:tplc="8612EC2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F71373"/>
    <w:multiLevelType w:val="hybridMultilevel"/>
    <w:tmpl w:val="FF82AC90"/>
    <w:lvl w:ilvl="0" w:tplc="6592018C">
      <w:numFmt w:val="bullet"/>
      <w:lvlText w:val=""/>
      <w:lvlJc w:val="left"/>
      <w:pPr>
        <w:ind w:left="2858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6" w15:restartNumberingAfterBreak="0">
    <w:nsid w:val="35734291"/>
    <w:multiLevelType w:val="hybridMultilevel"/>
    <w:tmpl w:val="8FA2CEA4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847888"/>
    <w:multiLevelType w:val="hybridMultilevel"/>
    <w:tmpl w:val="6B18D7A4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90513A"/>
    <w:multiLevelType w:val="hybridMultilevel"/>
    <w:tmpl w:val="D61A1D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D686BA5"/>
    <w:multiLevelType w:val="hybridMultilevel"/>
    <w:tmpl w:val="46963D0C"/>
    <w:lvl w:ilvl="0" w:tplc="BB76506C">
      <w:numFmt w:val="bullet"/>
      <w:lvlText w:val=""/>
      <w:lvlJc w:val="left"/>
      <w:pPr>
        <w:ind w:left="2138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3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71603757">
    <w:abstractNumId w:val="18"/>
  </w:num>
  <w:num w:numId="2" w16cid:durableId="41877506">
    <w:abstractNumId w:val="32"/>
  </w:num>
  <w:num w:numId="3" w16cid:durableId="518396264">
    <w:abstractNumId w:val="22"/>
  </w:num>
  <w:num w:numId="4" w16cid:durableId="1638488907">
    <w:abstractNumId w:val="23"/>
  </w:num>
  <w:num w:numId="5" w16cid:durableId="452208374">
    <w:abstractNumId w:val="33"/>
  </w:num>
  <w:num w:numId="6" w16cid:durableId="410588096">
    <w:abstractNumId w:val="31"/>
  </w:num>
  <w:num w:numId="7" w16cid:durableId="711929334">
    <w:abstractNumId w:val="18"/>
  </w:num>
  <w:num w:numId="8" w16cid:durableId="1094791045">
    <w:abstractNumId w:val="18"/>
  </w:num>
  <w:num w:numId="9" w16cid:durableId="2039699313">
    <w:abstractNumId w:val="18"/>
  </w:num>
  <w:num w:numId="10" w16cid:durableId="29960937">
    <w:abstractNumId w:val="18"/>
  </w:num>
  <w:num w:numId="11" w16cid:durableId="336930397">
    <w:abstractNumId w:val="0"/>
  </w:num>
  <w:num w:numId="12" w16cid:durableId="1544177047">
    <w:abstractNumId w:val="22"/>
  </w:num>
  <w:num w:numId="13" w16cid:durableId="31927361">
    <w:abstractNumId w:val="11"/>
  </w:num>
  <w:num w:numId="14" w16cid:durableId="1180318094">
    <w:abstractNumId w:val="6"/>
  </w:num>
  <w:num w:numId="15" w16cid:durableId="1247496007">
    <w:abstractNumId w:val="20"/>
  </w:num>
  <w:num w:numId="16" w16cid:durableId="878467497">
    <w:abstractNumId w:val="2"/>
  </w:num>
  <w:num w:numId="17" w16cid:durableId="258874548">
    <w:abstractNumId w:val="23"/>
  </w:num>
  <w:num w:numId="18" w16cid:durableId="1482191181">
    <w:abstractNumId w:val="23"/>
  </w:num>
  <w:num w:numId="19" w16cid:durableId="922493496">
    <w:abstractNumId w:val="9"/>
  </w:num>
  <w:num w:numId="20" w16cid:durableId="878468127">
    <w:abstractNumId w:val="34"/>
  </w:num>
  <w:num w:numId="21" w16cid:durableId="1083070159">
    <w:abstractNumId w:val="10"/>
  </w:num>
  <w:num w:numId="22" w16cid:durableId="2117097002">
    <w:abstractNumId w:val="24"/>
  </w:num>
  <w:num w:numId="23" w16cid:durableId="1140805075">
    <w:abstractNumId w:val="4"/>
  </w:num>
  <w:num w:numId="24" w16cid:durableId="1780880268">
    <w:abstractNumId w:val="8"/>
  </w:num>
  <w:num w:numId="25" w16cid:durableId="946699511">
    <w:abstractNumId w:val="1"/>
  </w:num>
  <w:num w:numId="26" w16cid:durableId="298266700">
    <w:abstractNumId w:val="28"/>
  </w:num>
  <w:num w:numId="27" w16cid:durableId="30769018">
    <w:abstractNumId w:val="19"/>
  </w:num>
  <w:num w:numId="28" w16cid:durableId="315307696">
    <w:abstractNumId w:val="7"/>
  </w:num>
  <w:num w:numId="29" w16cid:durableId="1034161770">
    <w:abstractNumId w:val="17"/>
  </w:num>
  <w:num w:numId="30" w16cid:durableId="1516336278">
    <w:abstractNumId w:val="26"/>
  </w:num>
  <w:num w:numId="31" w16cid:durableId="1730765730">
    <w:abstractNumId w:val="27"/>
  </w:num>
  <w:num w:numId="32" w16cid:durableId="29303324">
    <w:abstractNumId w:val="14"/>
  </w:num>
  <w:num w:numId="33" w16cid:durableId="553657863">
    <w:abstractNumId w:val="30"/>
  </w:num>
  <w:num w:numId="34" w16cid:durableId="252856353">
    <w:abstractNumId w:val="21"/>
  </w:num>
  <w:num w:numId="35" w16cid:durableId="966664860">
    <w:abstractNumId w:val="12"/>
  </w:num>
  <w:num w:numId="36" w16cid:durableId="1989626378">
    <w:abstractNumId w:val="13"/>
  </w:num>
  <w:num w:numId="37" w16cid:durableId="1809014438">
    <w:abstractNumId w:val="3"/>
  </w:num>
  <w:num w:numId="38" w16cid:durableId="738092224">
    <w:abstractNumId w:val="5"/>
  </w:num>
  <w:num w:numId="39" w16cid:durableId="493453074">
    <w:abstractNumId w:val="16"/>
  </w:num>
  <w:num w:numId="40" w16cid:durableId="1002202819">
    <w:abstractNumId w:val="29"/>
  </w:num>
  <w:num w:numId="41" w16cid:durableId="1525437678">
    <w:abstractNumId w:val="15"/>
  </w:num>
  <w:num w:numId="42" w16cid:durableId="203627245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568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3FE6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D7808"/>
    <w:rsid w:val="000E418F"/>
    <w:rsid w:val="000E469E"/>
    <w:rsid w:val="000F1F03"/>
    <w:rsid w:val="001050DA"/>
    <w:rsid w:val="001062E3"/>
    <w:rsid w:val="00111645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C2C0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16EC0"/>
    <w:rsid w:val="00224592"/>
    <w:rsid w:val="00236B6C"/>
    <w:rsid w:val="00237DA7"/>
    <w:rsid w:val="00237DD4"/>
    <w:rsid w:val="002433A0"/>
    <w:rsid w:val="002459A2"/>
    <w:rsid w:val="00247426"/>
    <w:rsid w:val="00247D1D"/>
    <w:rsid w:val="002643FB"/>
    <w:rsid w:val="00266B52"/>
    <w:rsid w:val="00272D5E"/>
    <w:rsid w:val="00277A94"/>
    <w:rsid w:val="00281536"/>
    <w:rsid w:val="002846AB"/>
    <w:rsid w:val="002853F9"/>
    <w:rsid w:val="00285FE2"/>
    <w:rsid w:val="00294A06"/>
    <w:rsid w:val="00295E72"/>
    <w:rsid w:val="002A3100"/>
    <w:rsid w:val="002B6B78"/>
    <w:rsid w:val="002C0D91"/>
    <w:rsid w:val="002C73C5"/>
    <w:rsid w:val="002D56CD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064"/>
    <w:rsid w:val="00371166"/>
    <w:rsid w:val="00380079"/>
    <w:rsid w:val="00381049"/>
    <w:rsid w:val="00381997"/>
    <w:rsid w:val="003859DE"/>
    <w:rsid w:val="00385C6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289A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2368"/>
    <w:rsid w:val="004A290C"/>
    <w:rsid w:val="004A598E"/>
    <w:rsid w:val="004A74C8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40D5"/>
    <w:rsid w:val="006A7D59"/>
    <w:rsid w:val="006A7E50"/>
    <w:rsid w:val="006B6DF9"/>
    <w:rsid w:val="006C3304"/>
    <w:rsid w:val="006D0A60"/>
    <w:rsid w:val="006D264B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77013"/>
    <w:rsid w:val="00883277"/>
    <w:rsid w:val="008871FC"/>
    <w:rsid w:val="008879B4"/>
    <w:rsid w:val="00887C10"/>
    <w:rsid w:val="00892B73"/>
    <w:rsid w:val="008954A0"/>
    <w:rsid w:val="0089759B"/>
    <w:rsid w:val="008A2572"/>
    <w:rsid w:val="008A257A"/>
    <w:rsid w:val="008B0E12"/>
    <w:rsid w:val="008C258D"/>
    <w:rsid w:val="008C6BF3"/>
    <w:rsid w:val="008D3A00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4F8F"/>
    <w:rsid w:val="009D7063"/>
    <w:rsid w:val="009E389F"/>
    <w:rsid w:val="009E775F"/>
    <w:rsid w:val="00A00EEF"/>
    <w:rsid w:val="00A02B70"/>
    <w:rsid w:val="00A14590"/>
    <w:rsid w:val="00A23131"/>
    <w:rsid w:val="00A308B3"/>
    <w:rsid w:val="00A33DCE"/>
    <w:rsid w:val="00A35896"/>
    <w:rsid w:val="00A45484"/>
    <w:rsid w:val="00A513C7"/>
    <w:rsid w:val="00A52ED8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00BE"/>
    <w:rsid w:val="00B13EEC"/>
    <w:rsid w:val="00B15CAE"/>
    <w:rsid w:val="00B23120"/>
    <w:rsid w:val="00B26993"/>
    <w:rsid w:val="00B27BDE"/>
    <w:rsid w:val="00B27CE8"/>
    <w:rsid w:val="00B32CD4"/>
    <w:rsid w:val="00B37FC4"/>
    <w:rsid w:val="00B41509"/>
    <w:rsid w:val="00B418DC"/>
    <w:rsid w:val="00B41AFF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1016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53B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D0022D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5DB8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8FC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D391F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CD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6CD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www.zm.gov.lv/lauksaimnieciba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347449-noteikumi-par-oficialas-statistikas-programmu-20242026gadam" TargetMode="External"/><Relationship Id="rId12" Type="http://schemas.openxmlformats.org/officeDocument/2006/relationships/hyperlink" Target="https://ec.europa.eu/eurostat/data/databa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data.stat.gov.lv/pxweb/lv/OSP_PUB/START__NOZ__LA__LAL/LAL0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sp.gov.lv/lv/informacijas-drosiba-un-datu-aizsardziba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22/2379/oj/?locale=LV" TargetMode="External"/><Relationship Id="rId14" Type="http://schemas.openxmlformats.org/officeDocument/2006/relationships/hyperlink" Target="https://eur-lex.europa.eu/legal-content/LV/TXT/?uri=celex%3A32016R067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4579</Words>
  <Characters>2611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Inita Klavina</cp:lastModifiedBy>
  <cp:revision>5</cp:revision>
  <cp:lastPrinted>2022-03-07T12:56:00Z</cp:lastPrinted>
  <dcterms:created xsi:type="dcterms:W3CDTF">2025-06-02T10:24:00Z</dcterms:created>
  <dcterms:modified xsi:type="dcterms:W3CDTF">2025-06-02T10:53:00Z</dcterms:modified>
</cp:coreProperties>
</file>