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60F2" w14:textId="77777777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227B31B4" wp14:editId="6B2E96F0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2341F8BC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34F00F73" w14:textId="77777777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788D8FBB" w14:textId="77777777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69CFFAC8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AD4C29D" w14:textId="77777777" w:rsidR="0051672D" w:rsidRPr="00883277" w:rsidRDefault="006E6A92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enerģētisko resursu iegādi un izlietošanu” (2-EK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F3AF9D1" w14:textId="77777777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148EBFA3" w14:textId="7777777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435A9BAB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612C598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932FCDD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541B56F1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37E33F48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23FF7DEE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8EE5F6" w14:textId="77777777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418C151" w14:textId="77777777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4BD2E0C" w14:textId="77777777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789C523B" w14:textId="77777777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200B9367" w14:textId="77777777" w:rsidR="009404C8" w:rsidRDefault="009404C8" w:rsidP="00214288">
      <w:r w:rsidRPr="009404C8">
        <w:t xml:space="preserve">Pārvalde lūdz iesniegt datus, lai nodrošinātu lietotāju vajadzības, kas </w:t>
      </w:r>
      <w:r w:rsidRPr="006E6A92">
        <w:t xml:space="preserve">definētas </w:t>
      </w:r>
      <w:hyperlink r:id="rId7" w:history="1">
        <w:r w:rsidR="00CA4D8E" w:rsidRPr="00CA4D8E">
          <w:rPr>
            <w:rStyle w:val="Hyperlink"/>
          </w:rPr>
          <w:t>Oficiālās statistikas programmas</w:t>
        </w:r>
      </w:hyperlink>
      <w:r w:rsidR="00CA4D8E">
        <w:t xml:space="preserve"> </w:t>
      </w:r>
      <w:r w:rsidRPr="006E6A92">
        <w:t xml:space="preserve">pielikuma </w:t>
      </w:r>
      <w:r w:rsidR="006E6A92" w:rsidRPr="006E6A92">
        <w:rPr>
          <w:szCs w:val="20"/>
        </w:rPr>
        <w:t>13. punktā (Galvenie uzņēmējdarbības gada rādītāji)</w:t>
      </w:r>
      <w:r w:rsidRPr="006E6A92">
        <w:t xml:space="preserve"> un </w:t>
      </w:r>
      <w:r w:rsidR="006E6A92" w:rsidRPr="006E6A92">
        <w:rPr>
          <w:szCs w:val="20"/>
        </w:rPr>
        <w:t>20. punktā (Enerģētikas statistika)</w:t>
      </w:r>
      <w:r w:rsidRPr="006E6A92">
        <w:t>.</w:t>
      </w:r>
    </w:p>
    <w:p w14:paraId="77229488" w14:textId="77777777" w:rsidR="006E6A92" w:rsidRDefault="0020179C" w:rsidP="006E6A92">
      <w:pPr>
        <w:rPr>
          <w:rFonts w:cs="Times New Roman"/>
        </w:rPr>
      </w:pPr>
      <w:r>
        <w:t>Iesniegtie d</w:t>
      </w:r>
      <w:r w:rsidR="006E6A92">
        <w:t xml:space="preserve">ati ir galvenais datu avots Latvijas </w:t>
      </w:r>
      <w:proofErr w:type="spellStart"/>
      <w:r w:rsidR="006E6A92">
        <w:t>energobilances</w:t>
      </w:r>
      <w:proofErr w:type="spellEnd"/>
      <w:r w:rsidR="006E6A92">
        <w:t xml:space="preserve"> sagatavošanā </w:t>
      </w:r>
      <w:r w:rsidR="006E6A92">
        <w:rPr>
          <w:rFonts w:cs="Times New Roman"/>
        </w:rPr>
        <w:t xml:space="preserve">- enerģētisko resursu ražošanu, importu, eksportu un patēriņu Latvijā. </w:t>
      </w:r>
    </w:p>
    <w:p w14:paraId="04A91581" w14:textId="77777777" w:rsidR="006E6A92" w:rsidRDefault="006E6A92" w:rsidP="006E6A92">
      <w:r>
        <w:t>Pārskatā iegūtos datus izmanto arī:</w:t>
      </w:r>
    </w:p>
    <w:p w14:paraId="65AA9F26" w14:textId="77777777" w:rsidR="006E6A92" w:rsidRDefault="006E6A92" w:rsidP="006E6A92">
      <w:pPr>
        <w:pStyle w:val="NoSpacing"/>
        <w:rPr>
          <w:rFonts w:cs="Times New Roman"/>
        </w:rPr>
      </w:pPr>
      <w:r>
        <w:t>vides ekonomisko kontu izstrādei;</w:t>
      </w:r>
    </w:p>
    <w:p w14:paraId="5DA851DD" w14:textId="77777777" w:rsidR="006E6A92" w:rsidRDefault="006E6A92" w:rsidP="006E6A92">
      <w:pPr>
        <w:pStyle w:val="NoSpacing"/>
        <w:rPr>
          <w:rFonts w:cs="Times New Roman"/>
        </w:rPr>
      </w:pPr>
      <w:r>
        <w:t xml:space="preserve">enerģētikas indikatoru aprēķināšanai, piemēram, </w:t>
      </w:r>
      <w:proofErr w:type="spellStart"/>
      <w:r>
        <w:t>atjaunīgo</w:t>
      </w:r>
      <w:proofErr w:type="spellEnd"/>
      <w:r>
        <w:t xml:space="preserve"> energoresursu īpatsvara aprēķināšanai bruto enerģijas </w:t>
      </w:r>
      <w:proofErr w:type="spellStart"/>
      <w:r>
        <w:t>galapatēriņā</w:t>
      </w:r>
      <w:proofErr w:type="spellEnd"/>
      <w:r>
        <w:t xml:space="preserve"> un transportā;</w:t>
      </w:r>
    </w:p>
    <w:p w14:paraId="1D597C0E" w14:textId="77777777" w:rsidR="006E6A92" w:rsidRDefault="006E6A92" w:rsidP="006E6A92">
      <w:pPr>
        <w:pStyle w:val="NoSpacing"/>
        <w:rPr>
          <w:rFonts w:cs="Times New Roman"/>
        </w:rPr>
      </w:pPr>
      <w:r>
        <w:rPr>
          <w:bCs/>
        </w:rPr>
        <w:t>vides aizsardzības un reģionālās enerģētikas politikas veidošanai;</w:t>
      </w:r>
    </w:p>
    <w:p w14:paraId="0CF8E6BA" w14:textId="77777777" w:rsidR="00381049" w:rsidRDefault="006E6A92" w:rsidP="006E6A92">
      <w:pPr>
        <w:pStyle w:val="NoSpacing"/>
        <w:rPr>
          <w:bCs/>
          <w:color w:val="000000"/>
        </w:rPr>
      </w:pPr>
      <w:r>
        <w:rPr>
          <w:rFonts w:cs="Times New Roman"/>
        </w:rPr>
        <w:t>dažādos pētījumos.</w:t>
      </w:r>
    </w:p>
    <w:p w14:paraId="43B8258B" w14:textId="77777777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0A851346" w14:textId="77777777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6E6A92">
        <w:t>o</w:t>
      </w:r>
      <w:r w:rsidRPr="00C13E38">
        <w:t xml:space="preserve"> </w:t>
      </w:r>
      <w:r w:rsidR="00322F85" w:rsidRPr="00C13E38">
        <w:t>tiesību aktu:</w:t>
      </w:r>
    </w:p>
    <w:bookmarkStart w:id="3" w:name="_Hlk71359506"/>
    <w:bookmarkStart w:id="4" w:name="_Hlk71359656"/>
    <w:p w14:paraId="2E412CBD" w14:textId="77777777" w:rsidR="00156802" w:rsidRDefault="006E6A92" w:rsidP="008A2572">
      <w:pPr>
        <w:pStyle w:val="NoSpacing"/>
        <w:numPr>
          <w:ilvl w:val="2"/>
          <w:numId w:val="26"/>
        </w:numPr>
      </w:pPr>
      <w:r>
        <w:fldChar w:fldCharType="begin"/>
      </w:r>
      <w:r w:rsidR="00377A5A">
        <w:instrText>HYPERLINK "https://eur-lex.europa.eu/legal-content/LV/TXT/?uri=CELEX%3A32008R1099&amp;qid=1621840254295"</w:instrText>
      </w:r>
      <w:r>
        <w:fldChar w:fldCharType="separate"/>
      </w:r>
      <w:r w:rsidRPr="006E6A92">
        <w:rPr>
          <w:rStyle w:val="Hyperlink"/>
        </w:rPr>
        <w:t>Eiropas Parlamenta un Padomes 2008. gada 22. oktobra Regul</w:t>
      </w:r>
      <w:r w:rsidR="00986421">
        <w:rPr>
          <w:rStyle w:val="Hyperlink"/>
        </w:rPr>
        <w:t>u</w:t>
      </w:r>
      <w:r w:rsidRPr="006E6A92">
        <w:rPr>
          <w:rStyle w:val="Hyperlink"/>
        </w:rPr>
        <w:t xml:space="preserve"> (EK) Nr. 1099/2008</w:t>
      </w:r>
      <w:r>
        <w:fldChar w:fldCharType="end"/>
      </w:r>
      <w:r>
        <w:t xml:space="preserve"> par enerģētikas statistiku (Dokuments attiecas uz EEZ)</w:t>
      </w:r>
      <w:bookmarkEnd w:id="3"/>
      <w:r>
        <w:t>.</w:t>
      </w:r>
      <w:bookmarkEnd w:id="4"/>
    </w:p>
    <w:p w14:paraId="155E0D01" w14:textId="77777777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5" w:name="_Toc70071549"/>
      <w:r>
        <w:t>Kur ir noteikts p</w:t>
      </w:r>
      <w:r w:rsidR="00E47D56" w:rsidRPr="00F37885">
        <w:t>ienākums iesniegt datus</w:t>
      </w:r>
      <w:r>
        <w:t>?</w:t>
      </w:r>
      <w:bookmarkEnd w:id="5"/>
    </w:p>
    <w:p w14:paraId="542597A2" w14:textId="77777777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41370B80" w14:textId="77777777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6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6"/>
    </w:p>
    <w:p w14:paraId="77C10BAF" w14:textId="77777777" w:rsidR="00381049" w:rsidRDefault="006E6A92" w:rsidP="00CF0D9F">
      <w:r>
        <w:t>Dati par elektroenerģijas kopējo patēriņu uzņēmumā, tiek iegūti no administratīvajiem datu avotiem, izņemot datus par elektroenerģijas patēriņu autotransportā, pilsētas elektriskajā transportā, dzelzceļa un cauruļvadu transportā, ko iegūst apsekojumā</w:t>
      </w:r>
      <w:r>
        <w:rPr>
          <w:rFonts w:cs="Open Sans"/>
          <w:szCs w:val="20"/>
        </w:rPr>
        <w:t>.</w:t>
      </w:r>
    </w:p>
    <w:p w14:paraId="43EA1EC7" w14:textId="77777777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7" w:name="_Toc70071551"/>
      <w:r>
        <w:t>Kam ir jāiesniedz dati?</w:t>
      </w:r>
      <w:bookmarkEnd w:id="7"/>
    </w:p>
    <w:p w14:paraId="07AB88D8" w14:textId="77777777" w:rsidR="00F9331C" w:rsidRDefault="006E6A92" w:rsidP="006E6A92">
      <w:proofErr w:type="spellStart"/>
      <w:r>
        <w:t>Apsekojumā</w:t>
      </w:r>
      <w:proofErr w:type="spellEnd"/>
      <w:r>
        <w:t xml:space="preserve"> iekļau</w:t>
      </w:r>
      <w:r w:rsidR="00F9331C">
        <w:t>tās vienības:</w:t>
      </w:r>
    </w:p>
    <w:p w14:paraId="5AAD840F" w14:textId="77777777" w:rsidR="00F9331C" w:rsidRDefault="00F9331C" w:rsidP="00F9331C">
      <w:pPr>
        <w:pStyle w:val="NoSpacing"/>
      </w:pPr>
      <w:r>
        <w:t>k</w:t>
      </w:r>
      <w:r w:rsidRPr="00F9331C">
        <w:t>omercuzņēmum</w:t>
      </w:r>
      <w:r>
        <w:t>i;</w:t>
      </w:r>
    </w:p>
    <w:p w14:paraId="4DB01920" w14:textId="77777777" w:rsidR="00F9331C" w:rsidRDefault="007252E0" w:rsidP="00F9331C">
      <w:pPr>
        <w:pStyle w:val="NoSpacing"/>
      </w:pPr>
      <w:r>
        <w:t xml:space="preserve">valsts un pašvaldību </w:t>
      </w:r>
      <w:r w:rsidR="00F9331C" w:rsidRPr="00F9331C">
        <w:t>budžeta iestāde</w:t>
      </w:r>
      <w:r w:rsidR="00F9331C">
        <w:t>s;</w:t>
      </w:r>
    </w:p>
    <w:p w14:paraId="77C0CD1E" w14:textId="77777777" w:rsidR="00F9331C" w:rsidRDefault="00F9331C" w:rsidP="007252E0">
      <w:pPr>
        <w:pStyle w:val="NoSpacing"/>
      </w:pPr>
      <w:r w:rsidRPr="00F9331C">
        <w:t>nodibinājum</w:t>
      </w:r>
      <w:r>
        <w:t>i</w:t>
      </w:r>
      <w:r w:rsidR="007252E0">
        <w:t xml:space="preserve">, </w:t>
      </w:r>
      <w:r w:rsidRPr="00F9331C">
        <w:t>biedrības</w:t>
      </w:r>
      <w:r w:rsidR="007252E0">
        <w:t xml:space="preserve">, </w:t>
      </w:r>
      <w:r w:rsidRPr="00F9331C">
        <w:t>fond</w:t>
      </w:r>
      <w:r>
        <w:t>i;</w:t>
      </w:r>
    </w:p>
    <w:p w14:paraId="3A89F8B3" w14:textId="77777777" w:rsidR="00F9331C" w:rsidRDefault="00F9331C" w:rsidP="00F9331C">
      <w:pPr>
        <w:pStyle w:val="NoSpacing"/>
      </w:pPr>
      <w:r w:rsidRPr="00F9331C">
        <w:t>zemnieku un zvejnieku saimniecības</w:t>
      </w:r>
      <w:r>
        <w:t>;</w:t>
      </w:r>
    </w:p>
    <w:p w14:paraId="5A16CE28" w14:textId="77777777" w:rsidR="006E6A92" w:rsidRPr="00F9331C" w:rsidRDefault="00F9331C" w:rsidP="00F9331C">
      <w:pPr>
        <w:pStyle w:val="NoSpacing"/>
      </w:pPr>
      <w:r w:rsidRPr="00F9331C">
        <w:t>reliģiskās organizācijas</w:t>
      </w:r>
      <w:r>
        <w:t>.</w:t>
      </w:r>
    </w:p>
    <w:p w14:paraId="37EFBA49" w14:textId="77777777" w:rsidR="00F9331C" w:rsidRPr="006E6A92" w:rsidRDefault="00F9331C" w:rsidP="006E6A92">
      <w:r>
        <w:t>Izlasi veido:</w:t>
      </w:r>
    </w:p>
    <w:p w14:paraId="02CA4FA0" w14:textId="77777777" w:rsidR="006E6A92" w:rsidRDefault="00F9331C" w:rsidP="006E6A92">
      <w:pPr>
        <w:pStyle w:val="NoSpacing"/>
        <w:rPr>
          <w:rFonts w:cs="Times New Roman"/>
          <w:color w:val="000000"/>
        </w:rPr>
      </w:pPr>
      <w:r>
        <w:t xml:space="preserve">vienības </w:t>
      </w:r>
      <w:r w:rsidR="006E6A92">
        <w:t>ar nodarbināto skaitu 80 un vairāk</w:t>
      </w:r>
      <w:r w:rsidR="006E6A92">
        <w:rPr>
          <w:rFonts w:cs="Times New Roman"/>
          <w:color w:val="000000"/>
        </w:rPr>
        <w:t>;</w:t>
      </w:r>
    </w:p>
    <w:p w14:paraId="265D5D15" w14:textId="77777777" w:rsidR="006E6A92" w:rsidRDefault="00F9331C" w:rsidP="006E6A92">
      <w:pPr>
        <w:pStyle w:val="NoSpacing"/>
        <w:rPr>
          <w:rFonts w:cs="Open Sans"/>
          <w:color w:val="000000"/>
        </w:rPr>
      </w:pPr>
      <w:r>
        <w:rPr>
          <w:rFonts w:cs="Open Sans"/>
          <w:color w:val="000000"/>
        </w:rPr>
        <w:t xml:space="preserve">vienības </w:t>
      </w:r>
      <w:r w:rsidR="006E6A92">
        <w:rPr>
          <w:rFonts w:cs="Open Sans"/>
          <w:color w:val="000000"/>
        </w:rPr>
        <w:t>kopējais apgrozījums veido 50 % un vairāk no nozares apgrozījuma atbilstoši Saimniecisko darbību statistiskai klasifikācijai NACE 2-zīmju līmenī;</w:t>
      </w:r>
    </w:p>
    <w:p w14:paraId="66C8ABB2" w14:textId="77777777" w:rsidR="006E6A92" w:rsidRDefault="00F9331C" w:rsidP="00C66F9C">
      <w:pPr>
        <w:pStyle w:val="NoSpacing"/>
      </w:pPr>
      <w:r>
        <w:t xml:space="preserve">vienība </w:t>
      </w:r>
      <w:r w:rsidR="006E6A92">
        <w:t xml:space="preserve">nodarbojas ar brikešu un granulu ražošanu, salmu un citas biomasas ražošanu un patēriņu, akmeņogļu un naftas produktu importu; </w:t>
      </w:r>
    </w:p>
    <w:p w14:paraId="3B6FBDEE" w14:textId="77777777" w:rsidR="00D24CD0" w:rsidRDefault="006E6A92" w:rsidP="00D24CD0">
      <w:pPr>
        <w:pStyle w:val="NoSpacing"/>
      </w:pPr>
      <w:r>
        <w:t>pārēj</w:t>
      </w:r>
      <w:r w:rsidR="00F9331C">
        <w:t>ās vienības</w:t>
      </w:r>
      <w:r>
        <w:t xml:space="preserve"> – izlases veidā.</w:t>
      </w:r>
    </w:p>
    <w:p w14:paraId="48D62D60" w14:textId="77777777" w:rsidR="00A62AF6" w:rsidRPr="00A62AF6" w:rsidRDefault="00A62AF6" w:rsidP="00A62AF6">
      <w:pPr>
        <w:rPr>
          <w:rFonts w:asciiTheme="minorHAnsi" w:hAnsiTheme="minorHAnsi"/>
        </w:rPr>
      </w:pPr>
      <w:bookmarkStart w:id="8" w:name="_Toc70071552"/>
      <w:r w:rsidRPr="00A62AF6">
        <w:t>Izlases izveidošanas standarts:</w:t>
      </w:r>
    </w:p>
    <w:p w14:paraId="5B979484" w14:textId="77777777" w:rsidR="00A62AF6" w:rsidRPr="00A62AF6" w:rsidRDefault="00A62AF6" w:rsidP="00A62AF6">
      <w:pPr>
        <w:pStyle w:val="NoSpacing"/>
      </w:pPr>
      <w:hyperlink r:id="rId9" w:history="1">
        <w:r w:rsidRPr="006E6A92">
          <w:rPr>
            <w:rStyle w:val="Hyperlink"/>
          </w:rPr>
          <w:t>Eiropas Parlamenta un Padomes 2008. gada 22. oktobra Regula</w:t>
        </w:r>
        <w:r>
          <w:rPr>
            <w:rStyle w:val="Hyperlink"/>
          </w:rPr>
          <w:t>s</w:t>
        </w:r>
        <w:r w:rsidRPr="006E6A92">
          <w:rPr>
            <w:rStyle w:val="Hyperlink"/>
          </w:rPr>
          <w:t xml:space="preserve"> (EK) Nr. 1099/2008</w:t>
        </w:r>
      </w:hyperlink>
      <w:r>
        <w:t xml:space="preserve"> par enerģētikas statistiku (Dokuments attiecas uz EEZ)</w:t>
      </w:r>
      <w:r w:rsidRPr="00A62AF6">
        <w:t xml:space="preserve"> </w:t>
      </w:r>
      <w:r w:rsidR="008B62C1">
        <w:t xml:space="preserve">3. pants un </w:t>
      </w:r>
      <w:r w:rsidRPr="00A62AF6">
        <w:t>B</w:t>
      </w:r>
      <w:r>
        <w:t> </w:t>
      </w:r>
      <w:r w:rsidRPr="00A62AF6">
        <w:t>pielikums;</w:t>
      </w:r>
    </w:p>
    <w:p w14:paraId="61296138" w14:textId="77777777" w:rsidR="00A62AF6" w:rsidRPr="00A62AF6" w:rsidRDefault="00490B1F" w:rsidP="00A62AF6">
      <w:pPr>
        <w:pStyle w:val="NoSpacing"/>
      </w:pPr>
      <w:hyperlink r:id="rId10" w:history="1">
        <w:r w:rsidRPr="00A611D9">
          <w:rPr>
            <w:rStyle w:val="Hyperlink"/>
          </w:rPr>
          <w:t>Ministru kabineta 2016. gada 20. decembra noteikumi Nr. 812</w:t>
        </w:r>
      </w:hyperlink>
      <w:r w:rsidRPr="00A611D9">
        <w:t xml:space="preserve"> ”Oficiālās statistikas veidlapu paraugu apstiprināšanas un veidlapu aizpildīšanas un iesniegšanas noteikumi”.</w:t>
      </w:r>
    </w:p>
    <w:p w14:paraId="0B83964F" w14:textId="77777777" w:rsidR="009B665C" w:rsidRPr="00C13E38" w:rsidRDefault="00D44A6F" w:rsidP="004652B7">
      <w:pPr>
        <w:pStyle w:val="Heading1"/>
        <w:numPr>
          <w:ilvl w:val="0"/>
          <w:numId w:val="21"/>
        </w:numPr>
      </w:pPr>
      <w:r>
        <w:lastRenderedPageBreak/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8"/>
    </w:p>
    <w:p w14:paraId="522A1CEE" w14:textId="77777777" w:rsidR="006E6A92" w:rsidRPr="006E6A92" w:rsidRDefault="006E6A92" w:rsidP="00D562EA">
      <w:pPr>
        <w:pStyle w:val="NoSpacing"/>
        <w:rPr>
          <w:rFonts w:cs="Times New Roman"/>
        </w:rPr>
      </w:pPr>
      <w:bookmarkStart w:id="9" w:name="_Toc40698654"/>
      <w:r>
        <w:t xml:space="preserve">Oficiālās statistikas portālā: </w:t>
      </w:r>
      <w:r w:rsidRPr="006E6A92">
        <w:t>dati par energoresursu ražošanu, importu, eksportu un patēriņu valstī</w:t>
      </w:r>
      <w:r w:rsidRPr="006E6A92">
        <w:rPr>
          <w:rFonts w:cs="Times New Roman"/>
        </w:rPr>
        <w:t>:</w:t>
      </w:r>
    </w:p>
    <w:p w14:paraId="34A4B432" w14:textId="77777777" w:rsidR="006E6A92" w:rsidRDefault="00A70460" w:rsidP="006E6A92">
      <w:pPr>
        <w:pStyle w:val="NoSpacing"/>
        <w:numPr>
          <w:ilvl w:val="1"/>
          <w:numId w:val="41"/>
        </w:numPr>
        <w:rPr>
          <w:rFonts w:cs="Times New Roman"/>
          <w:b/>
          <w:bCs/>
          <w:szCs w:val="20"/>
        </w:rPr>
      </w:pPr>
      <w:hyperlink r:id="rId11" w:history="1">
        <w:proofErr w:type="spellStart"/>
        <w:r>
          <w:rPr>
            <w:rStyle w:val="Hyperlink"/>
          </w:rPr>
          <w:t>Energobilance</w:t>
        </w:r>
        <w:proofErr w:type="spellEnd"/>
        <w:r>
          <w:rPr>
            <w:rStyle w:val="Hyperlink"/>
          </w:rPr>
          <w:t xml:space="preserve">, naturālās mērvienībās (NACE 2. </w:t>
        </w:r>
        <w:proofErr w:type="spellStart"/>
        <w:r>
          <w:rPr>
            <w:rStyle w:val="Hyperlink"/>
          </w:rPr>
          <w:t>red</w:t>
        </w:r>
        <w:proofErr w:type="spellEnd"/>
        <w:r>
          <w:rPr>
            <w:rStyle w:val="Hyperlink"/>
          </w:rPr>
          <w:t>.)</w:t>
        </w:r>
      </w:hyperlink>
    </w:p>
    <w:p w14:paraId="2DA1C4EC" w14:textId="77777777" w:rsidR="006E6A92" w:rsidRDefault="00A70460" w:rsidP="006E6A92">
      <w:pPr>
        <w:pStyle w:val="NoSpacing"/>
        <w:numPr>
          <w:ilvl w:val="1"/>
          <w:numId w:val="41"/>
        </w:numPr>
        <w:rPr>
          <w:rFonts w:cs="Times New Roman"/>
          <w:b/>
          <w:bCs/>
          <w:szCs w:val="20"/>
        </w:rPr>
      </w:pPr>
      <w:hyperlink r:id="rId12" w:history="1">
        <w:proofErr w:type="spellStart"/>
        <w:r>
          <w:rPr>
            <w:rStyle w:val="Hyperlink"/>
          </w:rPr>
          <w:t>Energobilance</w:t>
        </w:r>
        <w:proofErr w:type="spellEnd"/>
        <w:r>
          <w:rPr>
            <w:rStyle w:val="Hyperlink"/>
          </w:rPr>
          <w:t xml:space="preserve">, TJ, </w:t>
        </w:r>
        <w:proofErr w:type="spellStart"/>
        <w:r>
          <w:rPr>
            <w:rStyle w:val="Hyperlink"/>
          </w:rPr>
          <w:t>tūkst.toe</w:t>
        </w:r>
        <w:proofErr w:type="spellEnd"/>
        <w:r>
          <w:rPr>
            <w:rStyle w:val="Hyperlink"/>
          </w:rPr>
          <w:t xml:space="preserve"> (NACE 2. </w:t>
        </w:r>
        <w:proofErr w:type="spellStart"/>
        <w:r>
          <w:rPr>
            <w:rStyle w:val="Hyperlink"/>
          </w:rPr>
          <w:t>red</w:t>
        </w:r>
        <w:proofErr w:type="spellEnd"/>
        <w:r>
          <w:rPr>
            <w:rStyle w:val="Hyperlink"/>
          </w:rPr>
          <w:t>.)</w:t>
        </w:r>
      </w:hyperlink>
    </w:p>
    <w:p w14:paraId="320C54A6" w14:textId="77777777" w:rsidR="00381049" w:rsidRPr="00F914B8" w:rsidRDefault="006E6A92" w:rsidP="006E6A92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(Eurostat)</w:t>
      </w:r>
      <w:r>
        <w:rPr>
          <w:rFonts w:cs="Times New Roman"/>
          <w:bCs/>
          <w:szCs w:val="20"/>
        </w:rPr>
        <w:t xml:space="preserve"> </w:t>
      </w:r>
      <w:hyperlink r:id="rId13" w:history="1">
        <w:r>
          <w:rPr>
            <w:rStyle w:val="Hyperlink"/>
            <w:rFonts w:cs="Times New Roman"/>
            <w:bCs/>
            <w:szCs w:val="20"/>
          </w:rPr>
          <w:t>datubāzēs</w:t>
        </w:r>
      </w:hyperlink>
    </w:p>
    <w:p w14:paraId="1E181FA6" w14:textId="77777777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0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9"/>
      <w:r>
        <w:t>?</w:t>
      </w:r>
      <w:bookmarkEnd w:id="10"/>
    </w:p>
    <w:p w14:paraId="1E82F7C0" w14:textId="29554CFE" w:rsidR="006E6A92" w:rsidRDefault="006E6A92" w:rsidP="006E6A92">
      <w:pPr>
        <w:pStyle w:val="NoSpacing"/>
        <w:rPr>
          <w:color w:val="000000" w:themeColor="text1"/>
          <w:szCs w:val="20"/>
          <w:u w:val="single"/>
        </w:rPr>
      </w:pPr>
      <w:r>
        <w:rPr>
          <w:rFonts w:cs="Open Sans"/>
          <w:szCs w:val="20"/>
        </w:rPr>
        <w:t>Nacionālais enerģētikas un klimata plāns (</w:t>
      </w:r>
      <w:hyperlink r:id="rId14" w:history="1">
        <w:r>
          <w:rPr>
            <w:rStyle w:val="Hyperlink"/>
            <w:rFonts w:cs="Open Sans"/>
            <w:szCs w:val="20"/>
          </w:rPr>
          <w:t>NE</w:t>
        </w:r>
        <w:r>
          <w:rPr>
            <w:rStyle w:val="Hyperlink"/>
            <w:rFonts w:cs="Open Sans"/>
            <w:szCs w:val="20"/>
          </w:rPr>
          <w:t>KP</w:t>
        </w:r>
      </w:hyperlink>
      <w:r>
        <w:rPr>
          <w:rFonts w:cs="Open Sans"/>
          <w:szCs w:val="20"/>
        </w:rPr>
        <w:t>)</w:t>
      </w:r>
    </w:p>
    <w:p w14:paraId="21674F6D" w14:textId="77777777" w:rsidR="006E6A92" w:rsidRDefault="009C5D6A" w:rsidP="006E6A92">
      <w:pPr>
        <w:pStyle w:val="NoSpacing"/>
        <w:rPr>
          <w:rFonts w:cs="Open Sans"/>
          <w:szCs w:val="20"/>
          <w:u w:val="single"/>
        </w:rPr>
      </w:pPr>
      <w:r>
        <w:rPr>
          <w:rFonts w:cs="Open Sans"/>
          <w:bCs/>
          <w:szCs w:val="20"/>
        </w:rPr>
        <w:t>Valsts kanceleja</w:t>
      </w:r>
      <w:r w:rsidR="006E6A92">
        <w:rPr>
          <w:rFonts w:cs="Open Sans"/>
          <w:szCs w:val="20"/>
        </w:rPr>
        <w:t>: Latvijas Nacionālais attīstības plāns (</w:t>
      </w:r>
      <w:hyperlink r:id="rId15" w:history="1">
        <w:r w:rsidR="006E6A92">
          <w:rPr>
            <w:rStyle w:val="Hyperlink"/>
            <w:rFonts w:cs="Open Sans"/>
            <w:szCs w:val="20"/>
          </w:rPr>
          <w:t>N</w:t>
        </w:r>
        <w:r w:rsidR="006E6A92">
          <w:rPr>
            <w:rStyle w:val="Hyperlink"/>
            <w:rFonts w:cs="Open Sans"/>
            <w:szCs w:val="20"/>
          </w:rPr>
          <w:t>AP</w:t>
        </w:r>
      </w:hyperlink>
      <w:r w:rsidR="006E6A92">
        <w:rPr>
          <w:rFonts w:cs="Open Sans"/>
          <w:szCs w:val="20"/>
        </w:rPr>
        <w:t xml:space="preserve">) </w:t>
      </w:r>
    </w:p>
    <w:p w14:paraId="135ED7CD" w14:textId="77777777" w:rsidR="006E6A92" w:rsidRDefault="006E6A92" w:rsidP="006E6A92">
      <w:pPr>
        <w:pStyle w:val="NoSpacing"/>
        <w:rPr>
          <w:rStyle w:val="Hyperlink"/>
        </w:rPr>
      </w:pPr>
      <w:r>
        <w:rPr>
          <w:rFonts w:cs="Open Sans"/>
          <w:bCs/>
          <w:szCs w:val="20"/>
        </w:rPr>
        <w:t>Latvijas Vides, ģeoloģijas un meteoroloģijas centrs</w:t>
      </w:r>
      <w:r>
        <w:rPr>
          <w:rFonts w:cs="Open Sans"/>
          <w:szCs w:val="20"/>
        </w:rPr>
        <w:t xml:space="preserve">: </w:t>
      </w:r>
      <w:hyperlink r:id="rId16" w:history="1">
        <w:r w:rsidR="00377A5A">
          <w:rPr>
            <w:rStyle w:val="Hyperlink"/>
            <w:rFonts w:cs="Open Sans"/>
            <w:szCs w:val="20"/>
          </w:rPr>
          <w:t>Info</w:t>
        </w:r>
        <w:r w:rsidR="00377A5A">
          <w:rPr>
            <w:rStyle w:val="Hyperlink"/>
            <w:rFonts w:cs="Open Sans"/>
            <w:szCs w:val="20"/>
          </w:rPr>
          <w:t>rmācija par Latvijas SEG emisijām</w:t>
        </w:r>
      </w:hyperlink>
    </w:p>
    <w:p w14:paraId="388986B9" w14:textId="77777777" w:rsidR="006E6A92" w:rsidRDefault="006E6A92" w:rsidP="006E6A92">
      <w:pPr>
        <w:pStyle w:val="NoSpacing"/>
      </w:pPr>
      <w:r>
        <w:rPr>
          <w:rFonts w:cs="Open Sans"/>
          <w:color w:val="000000"/>
          <w:szCs w:val="20"/>
        </w:rPr>
        <w:t>Starptautiskā Enerģētikas aģentūra</w:t>
      </w:r>
      <w:r>
        <w:t xml:space="preserve"> </w:t>
      </w:r>
      <w:r>
        <w:rPr>
          <w:bCs/>
        </w:rPr>
        <w:t>(</w:t>
      </w:r>
      <w:hyperlink r:id="rId17" w:history="1">
        <w:r>
          <w:rPr>
            <w:rStyle w:val="Hyperlink"/>
            <w:rFonts w:cs="Open Sans"/>
            <w:bCs/>
            <w:szCs w:val="20"/>
          </w:rPr>
          <w:t>IE</w:t>
        </w:r>
        <w:r>
          <w:rPr>
            <w:rStyle w:val="Hyperlink"/>
            <w:rFonts w:cs="Open Sans"/>
            <w:bCs/>
            <w:szCs w:val="20"/>
          </w:rPr>
          <w:t>A</w:t>
        </w:r>
      </w:hyperlink>
      <w:r w:rsidRPr="006E6A92">
        <w:rPr>
          <w:rStyle w:val="Hyperlink"/>
          <w:rFonts w:cs="Open Sans"/>
          <w:bCs/>
          <w:color w:val="auto"/>
          <w:szCs w:val="20"/>
        </w:rPr>
        <w:t>)</w:t>
      </w:r>
    </w:p>
    <w:p w14:paraId="0F024A57" w14:textId="77777777" w:rsidR="006E6A92" w:rsidRPr="00377A5A" w:rsidRDefault="006E6A92" w:rsidP="006E6A92">
      <w:pPr>
        <w:pStyle w:val="NoSpacing"/>
        <w:rPr>
          <w:rFonts w:cs="Open Sans"/>
          <w:szCs w:val="20"/>
          <w:u w:val="single"/>
        </w:rPr>
      </w:pPr>
      <w:r>
        <w:rPr>
          <w:rFonts w:cs="Open Sans"/>
          <w:color w:val="000000"/>
          <w:szCs w:val="20"/>
        </w:rPr>
        <w:t>Starptautiskā Atjaunojamo energoresursu aģentūra</w:t>
      </w:r>
      <w:r>
        <w:t xml:space="preserve"> (</w:t>
      </w:r>
      <w:hyperlink r:id="rId18" w:history="1">
        <w:r>
          <w:rPr>
            <w:rStyle w:val="Hyperlink"/>
            <w:rFonts w:cs="Open Sans"/>
            <w:szCs w:val="20"/>
          </w:rPr>
          <w:t>IRE</w:t>
        </w:r>
        <w:r>
          <w:rPr>
            <w:rStyle w:val="Hyperlink"/>
            <w:rFonts w:cs="Open Sans"/>
            <w:szCs w:val="20"/>
          </w:rPr>
          <w:t>NA</w:t>
        </w:r>
      </w:hyperlink>
      <w:r>
        <w:rPr>
          <w:rFonts w:cs="Open Sans"/>
          <w:color w:val="000000"/>
          <w:szCs w:val="20"/>
        </w:rPr>
        <w:t>)</w:t>
      </w:r>
    </w:p>
    <w:p w14:paraId="65EAAAFE" w14:textId="77777777" w:rsidR="00377A5A" w:rsidRPr="001C14BD" w:rsidRDefault="001C14BD" w:rsidP="006E6A92">
      <w:pPr>
        <w:pStyle w:val="NoSpacing"/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>HYPERLINK "https://www.kem.gov.lv/lv/energetika"</w:instrText>
      </w:r>
      <w:r>
        <w:rPr>
          <w:rStyle w:val="Hyperlink"/>
        </w:rPr>
      </w:r>
      <w:r>
        <w:rPr>
          <w:rStyle w:val="Hyperlink"/>
        </w:rPr>
        <w:fldChar w:fldCharType="separate"/>
      </w:r>
      <w:r w:rsidR="00377A5A" w:rsidRPr="001C14BD">
        <w:rPr>
          <w:rStyle w:val="Hyperlink"/>
        </w:rPr>
        <w:t>Klimata un enerģētikas mi</w:t>
      </w:r>
      <w:r w:rsidR="00377A5A" w:rsidRPr="001C14BD">
        <w:rPr>
          <w:rStyle w:val="Hyperlink"/>
        </w:rPr>
        <w:t>nistrija</w:t>
      </w:r>
    </w:p>
    <w:p w14:paraId="76AEC5BC" w14:textId="5E22587E" w:rsidR="00923316" w:rsidRPr="00923316" w:rsidRDefault="001C14BD" w:rsidP="006E6A92">
      <w:pPr>
        <w:pStyle w:val="NoSpacing"/>
        <w:rPr>
          <w:b/>
        </w:rPr>
      </w:pPr>
      <w:r>
        <w:rPr>
          <w:rStyle w:val="Hyperlink"/>
        </w:rPr>
        <w:fldChar w:fldCharType="end"/>
      </w:r>
      <w:hyperlink r:id="rId19" w:history="1">
        <w:r w:rsidR="00923316" w:rsidRPr="00923316">
          <w:rPr>
            <w:rStyle w:val="Hyperlink"/>
          </w:rPr>
          <w:t>Viedās administrācijas un reģionālās att</w:t>
        </w:r>
        <w:r w:rsidR="00923316" w:rsidRPr="00923316">
          <w:rPr>
            <w:rStyle w:val="Hyperlink"/>
          </w:rPr>
          <w:t>īstības ministrija</w:t>
        </w:r>
      </w:hyperlink>
    </w:p>
    <w:p w14:paraId="29E4B9FB" w14:textId="77777777" w:rsidR="00381049" w:rsidRPr="00FB06BA" w:rsidRDefault="006E6A92" w:rsidP="006E6A92">
      <w:pPr>
        <w:pStyle w:val="NoSpacing"/>
        <w:rPr>
          <w:b/>
        </w:rPr>
      </w:pPr>
      <w:r>
        <w:rPr>
          <w:rFonts w:cs="Open Sans"/>
          <w:bCs/>
          <w:szCs w:val="20"/>
        </w:rPr>
        <w:t xml:space="preserve">Apvienoto Nāciju Organizācijas Statistikas nodaļa, </w:t>
      </w:r>
      <w:hyperlink r:id="rId20" w:history="1">
        <w:r>
          <w:rPr>
            <w:rStyle w:val="Hyperlink"/>
            <w:rFonts w:cs="Open Sans"/>
            <w:bCs/>
            <w:szCs w:val="20"/>
          </w:rPr>
          <w:t>Ener</w:t>
        </w:r>
        <w:r>
          <w:rPr>
            <w:rStyle w:val="Hyperlink"/>
            <w:rFonts w:cs="Open Sans"/>
            <w:bCs/>
            <w:szCs w:val="20"/>
          </w:rPr>
          <w:t>ģētikas statistikas nodaļa</w:t>
        </w:r>
      </w:hyperlink>
    </w:p>
    <w:p w14:paraId="46BF8F40" w14:textId="77777777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1" w:name="_Toc70071554"/>
      <w:r>
        <w:t>Vai Pārvalde ievēro d</w:t>
      </w:r>
      <w:r w:rsidR="00CB2A49" w:rsidRPr="00C13E38">
        <w:t>atu konfidencialitāt</w:t>
      </w:r>
      <w:r>
        <w:t>i?</w:t>
      </w:r>
      <w:bookmarkEnd w:id="11"/>
    </w:p>
    <w:p w14:paraId="3DE76583" w14:textId="77777777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712E3591" w14:textId="77777777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14C9F9DC" w14:textId="77777777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23831BE7" w14:textId="77777777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2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2"/>
    </w:p>
    <w:p w14:paraId="77D2427C" w14:textId="77777777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584D7985" w14:textId="77777777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21" w:history="1">
        <w:r w:rsidR="00953091" w:rsidRPr="00CF6881">
          <w:rPr>
            <w:rStyle w:val="Hyperlink"/>
            <w:rFonts w:cs="Times New Roman"/>
            <w:szCs w:val="20"/>
          </w:rPr>
          <w:t>Eiropas Parla</w:t>
        </w:r>
        <w:r w:rsidR="00953091" w:rsidRPr="00CF6881">
          <w:rPr>
            <w:rStyle w:val="Hyperlink"/>
            <w:rFonts w:cs="Times New Roman"/>
            <w:szCs w:val="20"/>
          </w:rPr>
          <w:t>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2F3BC181" w14:textId="7777777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22" w:history="1">
        <w:r w:rsidR="003B0359">
          <w:rPr>
            <w:rStyle w:val="Hyperlink"/>
            <w:rFonts w:cs="Times New Roman"/>
            <w:szCs w:val="20"/>
          </w:rPr>
          <w:t>https://www.csp.gov.lv/lv/biez</w:t>
        </w:r>
        <w:r w:rsidR="003B0359">
          <w:rPr>
            <w:rStyle w:val="Hyperlink"/>
            <w:rFonts w:cs="Times New Roman"/>
            <w:szCs w:val="20"/>
          </w:rPr>
          <w:t>ak-uzdotie-jautajumi-par-personas-datu-apstradi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82550156" o:spid="_x0000_i1026" type="#_x0000_t75" style="width:1in;height:70.75pt;visibility:visible;mso-wrap-style:square" o:bullet="t">
        <v:imagedata r:id="rId1" o:title=""/>
      </v:shape>
    </w:pict>
  </w:numPicBullet>
  <w:abstractNum w:abstractNumId="0" w15:restartNumberingAfterBreak="0">
    <w:nsid w:val="0301725D"/>
    <w:multiLevelType w:val="hybridMultilevel"/>
    <w:tmpl w:val="C7049062"/>
    <w:lvl w:ilvl="0" w:tplc="6592018C">
      <w:numFmt w:val="bullet"/>
      <w:lvlText w:val=""/>
      <w:lvlJc w:val="left"/>
      <w:pPr>
        <w:ind w:left="163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D6C20"/>
    <w:multiLevelType w:val="hybridMultilevel"/>
    <w:tmpl w:val="CB26EA00"/>
    <w:lvl w:ilvl="0" w:tplc="D52CB0E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23215"/>
    <w:multiLevelType w:val="hybridMultilevel"/>
    <w:tmpl w:val="F4F28E14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ABC40006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2BA183E"/>
    <w:multiLevelType w:val="hybridMultilevel"/>
    <w:tmpl w:val="783AC34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A4739"/>
    <w:multiLevelType w:val="hybridMultilevel"/>
    <w:tmpl w:val="14E2940A"/>
    <w:lvl w:ilvl="0" w:tplc="2736C71C">
      <w:numFmt w:val="bullet"/>
      <w:lvlText w:val=""/>
      <w:lvlJc w:val="left"/>
      <w:pPr>
        <w:ind w:left="2061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2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7307138">
    <w:abstractNumId w:val="17"/>
  </w:num>
  <w:num w:numId="2" w16cid:durableId="610746815">
    <w:abstractNumId w:val="31"/>
  </w:num>
  <w:num w:numId="3" w16cid:durableId="1637447036">
    <w:abstractNumId w:val="22"/>
  </w:num>
  <w:num w:numId="4" w16cid:durableId="2118479337">
    <w:abstractNumId w:val="23"/>
  </w:num>
  <w:num w:numId="5" w16cid:durableId="208424522">
    <w:abstractNumId w:val="32"/>
  </w:num>
  <w:num w:numId="6" w16cid:durableId="881097251">
    <w:abstractNumId w:val="30"/>
  </w:num>
  <w:num w:numId="7" w16cid:durableId="1173761838">
    <w:abstractNumId w:val="17"/>
  </w:num>
  <w:num w:numId="8" w16cid:durableId="1075473739">
    <w:abstractNumId w:val="17"/>
  </w:num>
  <w:num w:numId="9" w16cid:durableId="1692412381">
    <w:abstractNumId w:val="17"/>
  </w:num>
  <w:num w:numId="10" w16cid:durableId="2020740545">
    <w:abstractNumId w:val="17"/>
  </w:num>
  <w:num w:numId="11" w16cid:durableId="341125284">
    <w:abstractNumId w:val="1"/>
  </w:num>
  <w:num w:numId="12" w16cid:durableId="523328930">
    <w:abstractNumId w:val="22"/>
  </w:num>
  <w:num w:numId="13" w16cid:durableId="739793465">
    <w:abstractNumId w:val="10"/>
  </w:num>
  <w:num w:numId="14" w16cid:durableId="124273663">
    <w:abstractNumId w:val="5"/>
  </w:num>
  <w:num w:numId="15" w16cid:durableId="1142769319">
    <w:abstractNumId w:val="19"/>
  </w:num>
  <w:num w:numId="16" w16cid:durableId="1660889461">
    <w:abstractNumId w:val="3"/>
  </w:num>
  <w:num w:numId="17" w16cid:durableId="1810856033">
    <w:abstractNumId w:val="23"/>
  </w:num>
  <w:num w:numId="18" w16cid:durableId="590890415">
    <w:abstractNumId w:val="23"/>
  </w:num>
  <w:num w:numId="19" w16cid:durableId="2005620177">
    <w:abstractNumId w:val="8"/>
  </w:num>
  <w:num w:numId="20" w16cid:durableId="1585920204">
    <w:abstractNumId w:val="33"/>
  </w:num>
  <w:num w:numId="21" w16cid:durableId="1571039616">
    <w:abstractNumId w:val="9"/>
  </w:num>
  <w:num w:numId="22" w16cid:durableId="172232771">
    <w:abstractNumId w:val="24"/>
  </w:num>
  <w:num w:numId="23" w16cid:durableId="149248901">
    <w:abstractNumId w:val="4"/>
  </w:num>
  <w:num w:numId="24" w16cid:durableId="32003802">
    <w:abstractNumId w:val="7"/>
  </w:num>
  <w:num w:numId="25" w16cid:durableId="1776557538">
    <w:abstractNumId w:val="2"/>
  </w:num>
  <w:num w:numId="26" w16cid:durableId="910042068">
    <w:abstractNumId w:val="28"/>
  </w:num>
  <w:num w:numId="27" w16cid:durableId="1080366655">
    <w:abstractNumId w:val="18"/>
  </w:num>
  <w:num w:numId="28" w16cid:durableId="1847404384">
    <w:abstractNumId w:val="6"/>
  </w:num>
  <w:num w:numId="29" w16cid:durableId="1398357109">
    <w:abstractNumId w:val="16"/>
  </w:num>
  <w:num w:numId="30" w16cid:durableId="11693094">
    <w:abstractNumId w:val="25"/>
  </w:num>
  <w:num w:numId="31" w16cid:durableId="1509754364">
    <w:abstractNumId w:val="26"/>
  </w:num>
  <w:num w:numId="32" w16cid:durableId="357512869">
    <w:abstractNumId w:val="15"/>
  </w:num>
  <w:num w:numId="33" w16cid:durableId="1628928243">
    <w:abstractNumId w:val="29"/>
  </w:num>
  <w:num w:numId="34" w16cid:durableId="1410424996">
    <w:abstractNumId w:val="21"/>
  </w:num>
  <w:num w:numId="35" w16cid:durableId="1607419394">
    <w:abstractNumId w:val="12"/>
  </w:num>
  <w:num w:numId="36" w16cid:durableId="906186812">
    <w:abstractNumId w:val="14"/>
  </w:num>
  <w:num w:numId="37" w16cid:durableId="1134911322">
    <w:abstractNumId w:val="11"/>
  </w:num>
  <w:num w:numId="38" w16cid:durableId="144704893">
    <w:abstractNumId w:val="27"/>
  </w:num>
  <w:num w:numId="39" w16cid:durableId="887648416">
    <w:abstractNumId w:val="0"/>
  </w:num>
  <w:num w:numId="40" w16cid:durableId="2069261763">
    <w:abstractNumId w:val="0"/>
  </w:num>
  <w:num w:numId="41" w16cid:durableId="802190097">
    <w:abstractNumId w:val="13"/>
  </w:num>
  <w:num w:numId="42" w16cid:durableId="1001662766">
    <w:abstractNumId w:val="28"/>
  </w:num>
  <w:num w:numId="43" w16cid:durableId="1326668119">
    <w:abstractNumId w:val="22"/>
  </w:num>
  <w:num w:numId="44" w16cid:durableId="419763792">
    <w:abstractNumId w:val="28"/>
  </w:num>
  <w:num w:numId="45" w16cid:durableId="140392119">
    <w:abstractNumId w:val="20"/>
  </w:num>
  <w:num w:numId="46" w16cid:durableId="3974288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64AAA"/>
    <w:rsid w:val="0017189E"/>
    <w:rsid w:val="0017793C"/>
    <w:rsid w:val="00183189"/>
    <w:rsid w:val="00185C8C"/>
    <w:rsid w:val="001A109C"/>
    <w:rsid w:val="001A224E"/>
    <w:rsid w:val="001A2590"/>
    <w:rsid w:val="001A688F"/>
    <w:rsid w:val="001C14BD"/>
    <w:rsid w:val="001C16C9"/>
    <w:rsid w:val="001D0325"/>
    <w:rsid w:val="001D5F49"/>
    <w:rsid w:val="001E7D4C"/>
    <w:rsid w:val="001F09D2"/>
    <w:rsid w:val="001F18B1"/>
    <w:rsid w:val="001F29F5"/>
    <w:rsid w:val="001F6F0A"/>
    <w:rsid w:val="0020179C"/>
    <w:rsid w:val="00214288"/>
    <w:rsid w:val="002148CE"/>
    <w:rsid w:val="00224592"/>
    <w:rsid w:val="002276C7"/>
    <w:rsid w:val="00236B6C"/>
    <w:rsid w:val="00237DA7"/>
    <w:rsid w:val="00237DD4"/>
    <w:rsid w:val="002433A0"/>
    <w:rsid w:val="002459A2"/>
    <w:rsid w:val="00247426"/>
    <w:rsid w:val="002643FB"/>
    <w:rsid w:val="00265F47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7746"/>
    <w:rsid w:val="003049C3"/>
    <w:rsid w:val="00311772"/>
    <w:rsid w:val="003135C1"/>
    <w:rsid w:val="00316455"/>
    <w:rsid w:val="00316E0B"/>
    <w:rsid w:val="00321D7A"/>
    <w:rsid w:val="00322F85"/>
    <w:rsid w:val="003240D1"/>
    <w:rsid w:val="00326423"/>
    <w:rsid w:val="00330A7E"/>
    <w:rsid w:val="00330D4A"/>
    <w:rsid w:val="00336167"/>
    <w:rsid w:val="0034595C"/>
    <w:rsid w:val="003510A4"/>
    <w:rsid w:val="003577DD"/>
    <w:rsid w:val="00371166"/>
    <w:rsid w:val="00377A5A"/>
    <w:rsid w:val="00380079"/>
    <w:rsid w:val="00381049"/>
    <w:rsid w:val="00381997"/>
    <w:rsid w:val="003859DE"/>
    <w:rsid w:val="003931BD"/>
    <w:rsid w:val="003A051D"/>
    <w:rsid w:val="003B0359"/>
    <w:rsid w:val="003B05EC"/>
    <w:rsid w:val="003B371D"/>
    <w:rsid w:val="003B67AC"/>
    <w:rsid w:val="003C75AA"/>
    <w:rsid w:val="003D3C83"/>
    <w:rsid w:val="003D4A22"/>
    <w:rsid w:val="003E60C7"/>
    <w:rsid w:val="003E711F"/>
    <w:rsid w:val="003F5577"/>
    <w:rsid w:val="003F6A1C"/>
    <w:rsid w:val="004001D7"/>
    <w:rsid w:val="0040338F"/>
    <w:rsid w:val="00404BE4"/>
    <w:rsid w:val="004200CC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90B1F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2FDF"/>
    <w:rsid w:val="004C3406"/>
    <w:rsid w:val="004C43E9"/>
    <w:rsid w:val="004C4CDF"/>
    <w:rsid w:val="004D1EFC"/>
    <w:rsid w:val="004D3C65"/>
    <w:rsid w:val="004D4ABE"/>
    <w:rsid w:val="004E42BB"/>
    <w:rsid w:val="004E6207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0F"/>
    <w:rsid w:val="005472C0"/>
    <w:rsid w:val="00565652"/>
    <w:rsid w:val="00566B7F"/>
    <w:rsid w:val="0056798C"/>
    <w:rsid w:val="005747A7"/>
    <w:rsid w:val="005758AC"/>
    <w:rsid w:val="00582496"/>
    <w:rsid w:val="0058716D"/>
    <w:rsid w:val="00590BBE"/>
    <w:rsid w:val="00591D58"/>
    <w:rsid w:val="0059595D"/>
    <w:rsid w:val="005B0CCD"/>
    <w:rsid w:val="005B2510"/>
    <w:rsid w:val="005B71B4"/>
    <w:rsid w:val="005B7781"/>
    <w:rsid w:val="005C2867"/>
    <w:rsid w:val="005C34C4"/>
    <w:rsid w:val="005C7232"/>
    <w:rsid w:val="005D5B45"/>
    <w:rsid w:val="005E19EE"/>
    <w:rsid w:val="005E6C2A"/>
    <w:rsid w:val="005F59DA"/>
    <w:rsid w:val="005F6A3D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E6A92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52E0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1EDB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B62C1"/>
    <w:rsid w:val="008C1740"/>
    <w:rsid w:val="008C258D"/>
    <w:rsid w:val="008C6BF3"/>
    <w:rsid w:val="008D09A9"/>
    <w:rsid w:val="008D5589"/>
    <w:rsid w:val="008E2A65"/>
    <w:rsid w:val="008F270E"/>
    <w:rsid w:val="008F7FBA"/>
    <w:rsid w:val="009143D9"/>
    <w:rsid w:val="00923316"/>
    <w:rsid w:val="0092464A"/>
    <w:rsid w:val="0093494D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6421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C5A05"/>
    <w:rsid w:val="009C5D6A"/>
    <w:rsid w:val="009D000D"/>
    <w:rsid w:val="009D7063"/>
    <w:rsid w:val="009E389F"/>
    <w:rsid w:val="009E775F"/>
    <w:rsid w:val="00A00EEF"/>
    <w:rsid w:val="00A13B45"/>
    <w:rsid w:val="00A23131"/>
    <w:rsid w:val="00A308B3"/>
    <w:rsid w:val="00A33DCE"/>
    <w:rsid w:val="00A513C7"/>
    <w:rsid w:val="00A57C84"/>
    <w:rsid w:val="00A62AF6"/>
    <w:rsid w:val="00A6736D"/>
    <w:rsid w:val="00A70460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6572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4CEC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66F9C"/>
    <w:rsid w:val="00C71B34"/>
    <w:rsid w:val="00C723A5"/>
    <w:rsid w:val="00C74640"/>
    <w:rsid w:val="00C77FBD"/>
    <w:rsid w:val="00C86A8B"/>
    <w:rsid w:val="00C9310D"/>
    <w:rsid w:val="00C941B2"/>
    <w:rsid w:val="00C96774"/>
    <w:rsid w:val="00C97FF6"/>
    <w:rsid w:val="00CA0C46"/>
    <w:rsid w:val="00CA4D8E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20956"/>
    <w:rsid w:val="00D24CD0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6338"/>
    <w:rsid w:val="00DC6D8B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35621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0403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3ACA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9331C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7643DC3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ec.europa.eu/eurostat/web/energy/overview" TargetMode="External"/><Relationship Id="rId18" Type="http://schemas.openxmlformats.org/officeDocument/2006/relationships/hyperlink" Target="https://www.irena.org/Statistics" TargetMode="External"/><Relationship Id="rId3" Type="http://schemas.openxmlformats.org/officeDocument/2006/relationships/styles" Target="styles.xml"/><Relationship Id="rId21" Type="http://schemas.openxmlformats.org/officeDocument/2006/relationships/hyperlink" Target="https://eur-lex.europa.eu/legal-content/LV/TXT/?uri=celex%3A32016R0679" TargetMode="Externa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stat.gov.lv/lv/statistikas-temas/noz/energetika/tabulas/enb060-energobilance-tj-tuksttoe-nace-2-red?themeCode=EN" TargetMode="External"/><Relationship Id="rId17" Type="http://schemas.openxmlformats.org/officeDocument/2006/relationships/hyperlink" Target="https://www.iea.org/areas-of-work/data-and-statisti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descentrs.lvgmc.lv/lapas/informacija-par-latvijas-seg-emisijam" TargetMode="External"/><Relationship Id="rId20" Type="http://schemas.openxmlformats.org/officeDocument/2006/relationships/hyperlink" Target="https://unstats.un.org/unsd/energystat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stat.gov.lv/lv/statistikas-temas/noz/energetika/tabulas/enb050-energobilance-naturalas-mervienibas-nace-2-red?themeCode=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k.gov.lv/lv/latvijas-nacionalais-attistibas-plan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kumi.lv/ta/id/287576-oficialas-statistikas-veidlapu-paraugu-apstiprinasanas-un-veidlapu-aizpildisanas-un-iesniegsanas-noteikumi" TargetMode="External"/><Relationship Id="rId19" Type="http://schemas.openxmlformats.org/officeDocument/2006/relationships/hyperlink" Target="https://www.varam.gov.lv/lv/darbibas-jom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08R1099&amp;qid=1621840254295" TargetMode="External"/><Relationship Id="rId14" Type="http://schemas.openxmlformats.org/officeDocument/2006/relationships/hyperlink" Target="https://likumi.lv/ta/id/353615-aktualizetais-nacionalais-energetikas-un-klimata-plans-20212030gadam" TargetMode="External"/><Relationship Id="rId22" Type="http://schemas.openxmlformats.org/officeDocument/2006/relationships/hyperlink" Target="https://www.csp.gov.lv/lv/biezak-uzdotie-jautajumi-par-personas-datu-apstrad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4876</Words>
  <Characters>2780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Regina Dzirne</cp:lastModifiedBy>
  <cp:revision>6</cp:revision>
  <cp:lastPrinted>2022-03-08T07:58:00Z</cp:lastPrinted>
  <dcterms:created xsi:type="dcterms:W3CDTF">2025-01-15T12:25:00Z</dcterms:created>
  <dcterms:modified xsi:type="dcterms:W3CDTF">2025-09-03T07:46:00Z</dcterms:modified>
</cp:coreProperties>
</file>