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4C85A5B4" w:rsidR="0051672D" w:rsidRPr="00883277" w:rsidRDefault="00A07881" w:rsidP="008A257A">
      <w:pPr>
        <w:spacing w:after="12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>“Investīciju konjunktūras novērtējums rūpniecības uzņēmumā” (1-irkj)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0339213D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CF6881">
          <w:rPr>
            <w:rFonts w:cs="Verdana"/>
            <w:color w:val="0000FF"/>
            <w:szCs w:val="20"/>
          </w:rPr>
          <w:t>Oficiālās statistikas programmas</w:t>
        </w:r>
      </w:hyperlink>
      <w:r w:rsidRPr="00CF6881">
        <w:rPr>
          <w:color w:val="0000FF"/>
        </w:rPr>
        <w:t xml:space="preserve"> </w:t>
      </w:r>
      <w:r w:rsidRPr="00CF6881">
        <w:t>pie</w:t>
      </w:r>
      <w:r w:rsidRPr="009404C8">
        <w:t xml:space="preserve">likuma </w:t>
      </w:r>
      <w:r w:rsidR="00A07881" w:rsidRPr="00A46D52">
        <w:rPr>
          <w:szCs w:val="20"/>
        </w:rPr>
        <w:t xml:space="preserve">29. punktā (Konjunktūras </w:t>
      </w:r>
      <w:proofErr w:type="spellStart"/>
      <w:r w:rsidR="00A07881" w:rsidRPr="00A46D52">
        <w:rPr>
          <w:szCs w:val="20"/>
        </w:rPr>
        <w:t>apsekojumi</w:t>
      </w:r>
      <w:proofErr w:type="spellEnd"/>
      <w:r w:rsidR="00A07881" w:rsidRPr="00A46D52">
        <w:rPr>
          <w:szCs w:val="20"/>
        </w:rPr>
        <w:t>)</w:t>
      </w:r>
      <w:r w:rsidRPr="00A07881">
        <w:t>.</w:t>
      </w:r>
    </w:p>
    <w:p w14:paraId="4C717DCC" w14:textId="5EFB1C12" w:rsidR="00810E4E" w:rsidRDefault="00810E4E" w:rsidP="00810E4E">
      <w:r>
        <w:t>Ikviena uzņēmuma dati sniedz būtisku ieguldījumu</w:t>
      </w:r>
      <w:r>
        <w:rPr>
          <w:rFonts w:cs="Open Sans"/>
        </w:rPr>
        <w:t xml:space="preserve"> </w:t>
      </w:r>
      <w:r>
        <w:rPr>
          <w:rFonts w:cs="Open Sans"/>
        </w:rPr>
        <w:t xml:space="preserve">investīciju </w:t>
      </w:r>
      <w:r>
        <w:rPr>
          <w:rFonts w:cs="Open Sans"/>
        </w:rPr>
        <w:t>konjunktūras rādītāju aprēķinā</w:t>
      </w:r>
      <w:r>
        <w:t xml:space="preserve"> apstrādes rūpniecības nozarē.</w:t>
      </w:r>
    </w:p>
    <w:p w14:paraId="434D924F" w14:textId="77777777" w:rsidR="00D23FAB" w:rsidRDefault="00D23FAB" w:rsidP="00D23FAB">
      <w:r>
        <w:t xml:space="preserve">Konjunktūras rādītājus Latvijas valsts institūcijas, Eiropas Savienības (ES) institūcijas, starptautiskās organizācijas un citi datu lietotāji izmanto </w:t>
      </w:r>
      <w:bookmarkStart w:id="2" w:name="_Hlk49333543"/>
      <w:r>
        <w:t>īstermiņa ekonomiskajai analīzei un prognozēšanai, un tie ir noderīgs papildinājums tradicionālajiem kvantitatīvajiem statistikas rādītājiem, jo ir pieejami ātrāk kā arī rada mazāku administratīvo slogu respondentiem.</w:t>
      </w:r>
    </w:p>
    <w:p w14:paraId="050F81DF" w14:textId="77777777" w:rsidR="00D23FAB" w:rsidRDefault="00D23FAB" w:rsidP="00D23FAB">
      <w:pPr>
        <w:ind w:left="1106"/>
        <w:jc w:val="left"/>
        <w:rPr>
          <w:rFonts w:cs="Open Sans"/>
          <w:color w:val="000000"/>
        </w:rPr>
      </w:pPr>
      <w:r>
        <w:t>Ekonomikas ministrija gatavo regulārus apskatus par Latvijas makroekonomisko situāciju</w:t>
      </w:r>
      <w:bookmarkEnd w:id="2"/>
      <w:r>
        <w:t xml:space="preserve">, kas ietver arī konjunktūras rādītāju analīzi. </w:t>
      </w:r>
      <w:r>
        <w:rPr>
          <w:color w:val="000000"/>
        </w:rPr>
        <w:t xml:space="preserve">No pārskata datiem iegūtos rādītājus ES Ekonomikas un finanšu lietu ģenerāldirektorāts izmanto arī </w:t>
      </w:r>
      <w:r>
        <w:rPr>
          <w:rFonts w:cs="Open Sans"/>
          <w:color w:val="000000"/>
        </w:rPr>
        <w:t xml:space="preserve">ES un </w:t>
      </w:r>
      <w:proofErr w:type="spellStart"/>
      <w:r>
        <w:rPr>
          <w:rFonts w:cs="Open Sans"/>
          <w:color w:val="000000"/>
        </w:rPr>
        <w:t>eirozonas</w:t>
      </w:r>
      <w:proofErr w:type="spellEnd"/>
      <w:r>
        <w:rPr>
          <w:rFonts w:cs="Open Sans"/>
          <w:color w:val="000000"/>
        </w:rPr>
        <w:t xml:space="preserve"> kopīgo konjunktūras rādītāju aprēķinam</w:t>
      </w:r>
    </w:p>
    <w:p w14:paraId="41185709" w14:textId="56890C52" w:rsidR="00FB66EA" w:rsidRPr="00C13E38" w:rsidRDefault="008C258D" w:rsidP="00463CCC">
      <w:pPr>
        <w:pStyle w:val="Heading1"/>
        <w:ind w:left="567"/>
      </w:pPr>
      <w:bookmarkStart w:id="3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3"/>
    </w:p>
    <w:p w14:paraId="5DCFCEB5" w14:textId="3C2B6A89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A07881">
        <w:t>o</w:t>
      </w:r>
      <w:r w:rsidRPr="00C13E38">
        <w:t xml:space="preserve"> </w:t>
      </w:r>
      <w:r w:rsidR="00322F85" w:rsidRPr="00C13E38">
        <w:t>tiesību aktu:</w:t>
      </w:r>
    </w:p>
    <w:p w14:paraId="276BD1E0" w14:textId="0FB50C47" w:rsidR="00156802" w:rsidRDefault="00A07881" w:rsidP="008A2572">
      <w:pPr>
        <w:pStyle w:val="NoSpacing"/>
        <w:numPr>
          <w:ilvl w:val="2"/>
          <w:numId w:val="26"/>
        </w:numPr>
      </w:pPr>
      <w:hyperlink r:id="rId8" w:history="1">
        <w:r w:rsidRPr="00D3762E">
          <w:rPr>
            <w:rStyle w:val="Hyperlink"/>
          </w:rPr>
          <w:t>Kopīg</w:t>
        </w:r>
        <w:r w:rsidR="00D9410D">
          <w:rPr>
            <w:rStyle w:val="Hyperlink"/>
          </w:rPr>
          <w:t>o</w:t>
        </w:r>
        <w:r w:rsidRPr="00D3762E">
          <w:rPr>
            <w:rStyle w:val="Hyperlink"/>
          </w:rPr>
          <w:t xml:space="preserve"> saskaņot</w:t>
        </w:r>
        <w:r w:rsidR="00D9410D">
          <w:rPr>
            <w:rStyle w:val="Hyperlink"/>
          </w:rPr>
          <w:t>o</w:t>
        </w:r>
        <w:r w:rsidRPr="00D3762E">
          <w:rPr>
            <w:rStyle w:val="Hyperlink"/>
          </w:rPr>
          <w:t xml:space="preserve"> Eiropas Savienības uzņēmumu un patērētāju apsekojumu programm</w:t>
        </w:r>
        <w:r w:rsidR="00D9410D">
          <w:rPr>
            <w:rStyle w:val="Hyperlink"/>
          </w:rPr>
          <w:t>u</w:t>
        </w:r>
      </w:hyperlink>
      <w:r>
        <w:t>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4" w:name="_Toc70071549"/>
      <w:r>
        <w:t>Kur ir noteikts p</w:t>
      </w:r>
      <w:r w:rsidR="00E47D56" w:rsidRPr="00F37885">
        <w:t>ienākums iesniegt datus</w:t>
      </w:r>
      <w:r>
        <w:t>?</w:t>
      </w:r>
      <w:bookmarkEnd w:id="4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5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5"/>
    </w:p>
    <w:p w14:paraId="584FBD34" w14:textId="199DAE20" w:rsidR="00381049" w:rsidRDefault="00D23FAB" w:rsidP="00D23FAB">
      <w:pPr>
        <w:pStyle w:val="ListParagraph"/>
        <w:ind w:left="1176"/>
      </w:pPr>
      <w:bookmarkStart w:id="6" w:name="_Hlk207984832"/>
      <w:proofErr w:type="spellStart"/>
      <w:r>
        <w:t>A</w:t>
      </w:r>
      <w:r>
        <w:t>psekojuma</w:t>
      </w:r>
      <w:proofErr w:type="spellEnd"/>
      <w:r>
        <w:t xml:space="preserve"> rādītājiem atbilstošu administratīvo datu nav, taču, salīdzinot ar </w:t>
      </w:r>
      <w:proofErr w:type="spellStart"/>
      <w:r>
        <w:t>apsekojumiem</w:t>
      </w:r>
      <w:proofErr w:type="spellEnd"/>
      <w:r>
        <w:t xml:space="preserve">, kuros jāsniedz dati par uzņēmumu skaitliskā izteiksmē, konjunktūras </w:t>
      </w:r>
      <w:proofErr w:type="spellStart"/>
      <w:r>
        <w:t>apsekojumi</w:t>
      </w:r>
      <w:proofErr w:type="spellEnd"/>
      <w:r>
        <w:t xml:space="preserve"> rada respondentiem būtiski mazāku administratīvo slogu, jo, atbildot uz </w:t>
      </w:r>
      <w:proofErr w:type="spellStart"/>
      <w:r>
        <w:t>apsekojuma</w:t>
      </w:r>
      <w:proofErr w:type="spellEnd"/>
      <w:r>
        <w:t xml:space="preserve"> jautājumiem, respondents sniedz tikai savu subjektīvo vērtējumu par tendencēm uzņēmuma darbībā, izvēloties vienu no piedāvātajiem variantiem.</w:t>
      </w:r>
      <w:bookmarkEnd w:id="6"/>
    </w:p>
    <w:p w14:paraId="1F5F0C07" w14:textId="211764FC" w:rsidR="004E42BB" w:rsidRDefault="00D44A6F" w:rsidP="004652B7">
      <w:pPr>
        <w:pStyle w:val="Heading1"/>
        <w:numPr>
          <w:ilvl w:val="0"/>
          <w:numId w:val="24"/>
        </w:numPr>
      </w:pPr>
      <w:bookmarkStart w:id="7" w:name="_Toc70071551"/>
      <w:r>
        <w:t>Kam ir jāiesniedz dati?</w:t>
      </w:r>
      <w:bookmarkEnd w:id="7"/>
    </w:p>
    <w:p w14:paraId="7F4C3465" w14:textId="77777777" w:rsidR="00D23FAB" w:rsidRDefault="00D23FAB" w:rsidP="00D23FAB">
      <w:proofErr w:type="spellStart"/>
      <w:r>
        <w:t>Apsekojumā</w:t>
      </w:r>
      <w:proofErr w:type="spellEnd"/>
      <w:r>
        <w:t xml:space="preserve"> iekļauj:</w:t>
      </w:r>
    </w:p>
    <w:p w14:paraId="29830E17" w14:textId="77777777" w:rsidR="00D23FAB" w:rsidRDefault="00D23FAB" w:rsidP="00D23FAB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visus uzņēmumus</w:t>
      </w:r>
      <w:r w:rsidRPr="00E9791C">
        <w:rPr>
          <w:noProof/>
          <w:lang w:eastAsia="en-GB"/>
        </w:rPr>
        <w:t xml:space="preserve"> </w:t>
      </w:r>
      <w:r>
        <w:rPr>
          <w:noProof/>
          <w:lang w:eastAsia="en-GB"/>
        </w:rPr>
        <w:t>ar nodarbināto skaitu 250 un vairāk, kuru pamatdarbība atbilst Saimniecisko darbību statistiskās klasifikācijas  NACE 2. red. C sadaļai – apstrādes rūpniecība;</w:t>
      </w:r>
    </w:p>
    <w:p w14:paraId="23C04486" w14:textId="77777777" w:rsidR="00D23FAB" w:rsidRPr="00F33D0A" w:rsidRDefault="00D23FAB" w:rsidP="00D23FAB">
      <w:pPr>
        <w:pStyle w:val="NoSpacing"/>
      </w:pPr>
      <w:r>
        <w:rPr>
          <w:noProof/>
          <w:lang w:eastAsia="en-GB"/>
        </w:rPr>
        <w:t>pārējos minēto nozaru uzņēmumus - izlases veidā.</w:t>
      </w:r>
    </w:p>
    <w:p w14:paraId="22119D0D" w14:textId="77777777" w:rsidR="00D23FAB" w:rsidRDefault="00D23FAB" w:rsidP="00D23FAB">
      <w:r w:rsidRPr="009E389F">
        <w:t xml:space="preserve">Izlases izveidošanas </w:t>
      </w:r>
      <w:r>
        <w:t>standarts</w:t>
      </w:r>
      <w:r w:rsidRPr="009E389F">
        <w:t>:</w:t>
      </w:r>
    </w:p>
    <w:p w14:paraId="18C2C36F" w14:textId="77777777" w:rsidR="00D23FAB" w:rsidRDefault="00D23FAB" w:rsidP="00D23FAB">
      <w:pPr>
        <w:pStyle w:val="NoSpacing"/>
      </w:pPr>
      <w:hyperlink r:id="rId10" w:history="1">
        <w:r w:rsidRPr="00BE5145">
          <w:rPr>
            <w:rStyle w:val="Hyperlink"/>
          </w:rPr>
          <w:t>Kopīgās saskaņotās Eiropas Savienības uzņēmumu un patērētāju apsekojumu programmas lietotāja rokasgrāmata</w:t>
        </w:r>
      </w:hyperlink>
      <w:r>
        <w:t>;</w:t>
      </w:r>
    </w:p>
    <w:p w14:paraId="7EC5186F" w14:textId="44A7AE61" w:rsidR="00D23FAB" w:rsidRPr="00D23FAB" w:rsidRDefault="00D23FAB" w:rsidP="00D23FAB">
      <w:pPr>
        <w:pStyle w:val="NoSpacing"/>
      </w:pPr>
      <w:hyperlink r:id="rId11" w:history="1">
        <w:r w:rsidRPr="00A611D9">
          <w:rPr>
            <w:rStyle w:val="Hyperlink"/>
          </w:rPr>
          <w:t>Ministru kabineta 2016. gada 20. decembra noteikumi Nr. 812</w:t>
        </w:r>
      </w:hyperlink>
      <w:r w:rsidRPr="00A611D9">
        <w:t xml:space="preserve"> ”Oficiālās statistikas veidlapu paraugu apstiprināšanas un veidlapu aizpildīšanas un iesniegšanas noteikumi”.</w:t>
      </w:r>
    </w:p>
    <w:p w14:paraId="4BF58A59" w14:textId="4033C3E5" w:rsidR="00D23FAB" w:rsidRPr="00C13E38" w:rsidRDefault="00D44A6F" w:rsidP="00D23FAB">
      <w:pPr>
        <w:pStyle w:val="Heading1"/>
        <w:numPr>
          <w:ilvl w:val="0"/>
          <w:numId w:val="21"/>
        </w:numPr>
      </w:pPr>
      <w:bookmarkStart w:id="8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8"/>
    </w:p>
    <w:p w14:paraId="25C944C3" w14:textId="77777777" w:rsidR="00D23FAB" w:rsidRDefault="00D23FAB" w:rsidP="00D23FAB">
      <w:pPr>
        <w:pStyle w:val="NoSpacing"/>
        <w:rPr>
          <w:rFonts w:cs="Times New Roman"/>
          <w:szCs w:val="20"/>
        </w:rPr>
      </w:pPr>
      <w:bookmarkStart w:id="9" w:name="_Hlk207984039"/>
      <w:bookmarkStart w:id="10" w:name="_Hlk207984991"/>
      <w:r w:rsidRPr="00E9791C">
        <w:rPr>
          <w:rFonts w:cs="Times New Roman"/>
          <w:szCs w:val="20"/>
        </w:rPr>
        <w:t>Oficiālās statistikas portālā</w:t>
      </w:r>
      <w:bookmarkEnd w:id="9"/>
      <w:r>
        <w:rPr>
          <w:rFonts w:cs="Times New Roman"/>
          <w:szCs w:val="20"/>
        </w:rPr>
        <w:t>:</w:t>
      </w:r>
    </w:p>
    <w:p w14:paraId="355FAACE" w14:textId="77777777" w:rsidR="00D23FAB" w:rsidRPr="00AA207D" w:rsidRDefault="00D23FAB" w:rsidP="00D23FAB">
      <w:pPr>
        <w:pStyle w:val="NoSpacing"/>
        <w:ind w:left="2268"/>
        <w:rPr>
          <w:rStyle w:val="Hyperlink"/>
          <w:rFonts w:cs="Times New Roman"/>
          <w:color w:val="auto"/>
          <w:szCs w:val="20"/>
        </w:rPr>
      </w:pPr>
      <w:hyperlink r:id="rId12" w:history="1">
        <w:r w:rsidRPr="00C67132">
          <w:rPr>
            <w:rStyle w:val="Hyperlink"/>
            <w:rFonts w:cs="Times New Roman"/>
            <w:szCs w:val="20"/>
          </w:rPr>
          <w:t>Uzņēmējdarbības prognozes (konjunktūras rādītāji)</w:t>
        </w:r>
      </w:hyperlink>
    </w:p>
    <w:p w14:paraId="097C29D2" w14:textId="18DDA395" w:rsidR="00D23FAB" w:rsidRPr="00D23FAB" w:rsidRDefault="00D23FAB" w:rsidP="00D23FAB">
      <w:pPr>
        <w:pStyle w:val="NoSpacing"/>
      </w:pPr>
      <w:r w:rsidRPr="00AA207D">
        <w:rPr>
          <w:rFonts w:cs="Times New Roman"/>
          <w:color w:val="000000"/>
          <w:szCs w:val="20"/>
        </w:rPr>
        <w:t>Ekonomikas un finanšu lietu ģenerāldirektorāta (</w:t>
      </w:r>
      <w:hyperlink r:id="rId13" w:history="1">
        <w:r w:rsidRPr="00AA207D">
          <w:rPr>
            <w:rStyle w:val="Hyperlink"/>
            <w:rFonts w:cs="Times New Roman"/>
            <w:szCs w:val="20"/>
          </w:rPr>
          <w:t>ECFIN</w:t>
        </w:r>
      </w:hyperlink>
      <w:r w:rsidRPr="00AA207D">
        <w:rPr>
          <w:rFonts w:cs="Times New Roman"/>
          <w:color w:val="000000"/>
          <w:szCs w:val="20"/>
        </w:rPr>
        <w:t>) tīmekļa vietnē</w:t>
      </w:r>
      <w:bookmarkEnd w:id="10"/>
    </w:p>
    <w:p w14:paraId="48B06672" w14:textId="40E99710" w:rsidR="00D23FAB" w:rsidRDefault="004D4ABE" w:rsidP="00D23FAB">
      <w:pPr>
        <w:pStyle w:val="Heading1"/>
        <w:numPr>
          <w:ilvl w:val="0"/>
          <w:numId w:val="22"/>
        </w:numPr>
      </w:pPr>
      <w:bookmarkStart w:id="11" w:name="_Toc40698654"/>
      <w:bookmarkStart w:id="12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1"/>
      <w:r>
        <w:t>?</w:t>
      </w:r>
      <w:bookmarkStart w:id="13" w:name="_Hlk207985233"/>
      <w:bookmarkEnd w:id="12"/>
    </w:p>
    <w:p w14:paraId="3256FF47" w14:textId="77777777" w:rsidR="00D23FAB" w:rsidRPr="00AA207D" w:rsidRDefault="00D23FAB" w:rsidP="00D23FAB">
      <w:pPr>
        <w:pStyle w:val="NoSpacing"/>
        <w:rPr>
          <w:rFonts w:cs="Times New Roman"/>
          <w:szCs w:val="20"/>
          <w:u w:val="single"/>
        </w:rPr>
      </w:pPr>
      <w:bookmarkStart w:id="14" w:name="_Hlk207984552"/>
      <w:r w:rsidRPr="00AA207D">
        <w:rPr>
          <w:rFonts w:eastAsia="Times New Roman" w:cs="Times New Roman"/>
          <w:noProof/>
          <w:szCs w:val="20"/>
          <w:lang w:eastAsia="en-GB"/>
        </w:rPr>
        <w:t>Ekonomikas un finanšu lietu ģenerāldirektorāts (</w:t>
      </w:r>
      <w:hyperlink r:id="rId14" w:history="1">
        <w:r w:rsidRPr="00C67132">
          <w:rPr>
            <w:rStyle w:val="Hyperlink"/>
            <w:rFonts w:cs="Times New Roman"/>
            <w:szCs w:val="20"/>
          </w:rPr>
          <w:t>ECFIN</w:t>
        </w:r>
      </w:hyperlink>
      <w:r w:rsidRPr="00AA207D">
        <w:rPr>
          <w:rFonts w:eastAsia="Times New Roman" w:cs="Times New Roman"/>
          <w:noProof/>
          <w:szCs w:val="20"/>
          <w:lang w:eastAsia="en-GB"/>
        </w:rPr>
        <w:t>)</w:t>
      </w:r>
    </w:p>
    <w:p w14:paraId="4E8C14CB" w14:textId="77777777" w:rsidR="00D23FAB" w:rsidRPr="00AA207D" w:rsidRDefault="00D23FAB" w:rsidP="00D23FAB">
      <w:pPr>
        <w:pStyle w:val="NoSpacing"/>
        <w:rPr>
          <w:color w:val="000000" w:themeColor="text1"/>
          <w:szCs w:val="20"/>
          <w:u w:val="single"/>
        </w:rPr>
      </w:pPr>
      <w:r w:rsidRPr="00AA207D">
        <w:rPr>
          <w:rStyle w:val="Hyperlink"/>
          <w:color w:val="000000" w:themeColor="text1"/>
          <w:szCs w:val="20"/>
        </w:rPr>
        <w:t xml:space="preserve">Ekonomikas </w:t>
      </w:r>
      <w:r w:rsidRPr="00AA207D">
        <w:rPr>
          <w:szCs w:val="20"/>
        </w:rPr>
        <w:t>attīstības un sadarbības organizācija (</w:t>
      </w:r>
      <w:hyperlink r:id="rId15" w:history="1">
        <w:r w:rsidRPr="00AA207D">
          <w:rPr>
            <w:rStyle w:val="Hyperlink"/>
            <w:rFonts w:cs="Times New Roman"/>
            <w:szCs w:val="20"/>
          </w:rPr>
          <w:t>OECD</w:t>
        </w:r>
      </w:hyperlink>
      <w:r w:rsidRPr="00AA207D">
        <w:rPr>
          <w:szCs w:val="20"/>
        </w:rPr>
        <w:t>)</w:t>
      </w:r>
    </w:p>
    <w:p w14:paraId="6F068CF4" w14:textId="77777777" w:rsidR="00D23FAB" w:rsidRPr="00AA207D" w:rsidRDefault="00D23FAB" w:rsidP="00D23FAB">
      <w:pPr>
        <w:pStyle w:val="NoSpacing"/>
        <w:rPr>
          <w:rStyle w:val="Hyperlink"/>
          <w:color w:val="000000" w:themeColor="text1"/>
        </w:rPr>
      </w:pPr>
      <w:hyperlink r:id="rId16" w:history="1">
        <w:r w:rsidRPr="00AA207D">
          <w:rPr>
            <w:rStyle w:val="Hyperlink"/>
            <w:rFonts w:cs="Times New Roman"/>
            <w:szCs w:val="20"/>
          </w:rPr>
          <w:t>Ekonomikas ministrija</w:t>
        </w:r>
      </w:hyperlink>
    </w:p>
    <w:p w14:paraId="6D749B4A" w14:textId="3C3A53A1" w:rsidR="00D23FAB" w:rsidRPr="00D23FAB" w:rsidRDefault="00D23FAB" w:rsidP="00D23FAB">
      <w:pPr>
        <w:pStyle w:val="NoSpacing"/>
      </w:pPr>
      <w:hyperlink r:id="rId17" w:history="1">
        <w:r w:rsidRPr="00AA207D">
          <w:rPr>
            <w:rStyle w:val="Hyperlink"/>
            <w:rFonts w:cs="Times New Roman"/>
            <w:szCs w:val="20"/>
          </w:rPr>
          <w:t>Latvijas Banka</w:t>
        </w:r>
      </w:hyperlink>
      <w:bookmarkEnd w:id="13"/>
      <w:bookmarkEnd w:id="14"/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5" w:name="_Toc70071554"/>
      <w:r>
        <w:t>Vai Pārvalde ievēro d</w:t>
      </w:r>
      <w:r w:rsidR="00CB2A49" w:rsidRPr="00C13E38">
        <w:t>atu konfidencialitāt</w:t>
      </w:r>
      <w:r>
        <w:t>i?</w:t>
      </w:r>
      <w:bookmarkEnd w:id="15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6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6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8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9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in;height:71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F6124D"/>
    <w:multiLevelType w:val="hybridMultilevel"/>
    <w:tmpl w:val="A25E6892"/>
    <w:lvl w:ilvl="0" w:tplc="184699E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28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2164726">
    <w:abstractNumId w:val="15"/>
  </w:num>
  <w:num w:numId="2" w16cid:durableId="1819225908">
    <w:abstractNumId w:val="27"/>
  </w:num>
  <w:num w:numId="3" w16cid:durableId="1647316293">
    <w:abstractNumId w:val="19"/>
  </w:num>
  <w:num w:numId="4" w16cid:durableId="218631678">
    <w:abstractNumId w:val="20"/>
  </w:num>
  <w:num w:numId="5" w16cid:durableId="652565667">
    <w:abstractNumId w:val="28"/>
  </w:num>
  <w:num w:numId="6" w16cid:durableId="1277061182">
    <w:abstractNumId w:val="26"/>
  </w:num>
  <w:num w:numId="7" w16cid:durableId="89130530">
    <w:abstractNumId w:val="15"/>
  </w:num>
  <w:num w:numId="8" w16cid:durableId="803930727">
    <w:abstractNumId w:val="15"/>
  </w:num>
  <w:num w:numId="9" w16cid:durableId="825324105">
    <w:abstractNumId w:val="15"/>
  </w:num>
  <w:num w:numId="10" w16cid:durableId="1151019833">
    <w:abstractNumId w:val="15"/>
  </w:num>
  <w:num w:numId="11" w16cid:durableId="1048186195">
    <w:abstractNumId w:val="0"/>
  </w:num>
  <w:num w:numId="12" w16cid:durableId="2075814145">
    <w:abstractNumId w:val="19"/>
  </w:num>
  <w:num w:numId="13" w16cid:durableId="1296791037">
    <w:abstractNumId w:val="9"/>
  </w:num>
  <w:num w:numId="14" w16cid:durableId="1736124502">
    <w:abstractNumId w:val="4"/>
  </w:num>
  <w:num w:numId="15" w16cid:durableId="939991416">
    <w:abstractNumId w:val="17"/>
  </w:num>
  <w:num w:numId="16" w16cid:durableId="998844308">
    <w:abstractNumId w:val="2"/>
  </w:num>
  <w:num w:numId="17" w16cid:durableId="1451049991">
    <w:abstractNumId w:val="20"/>
  </w:num>
  <w:num w:numId="18" w16cid:durableId="514468384">
    <w:abstractNumId w:val="20"/>
  </w:num>
  <w:num w:numId="19" w16cid:durableId="221864649">
    <w:abstractNumId w:val="7"/>
  </w:num>
  <w:num w:numId="20" w16cid:durableId="764035686">
    <w:abstractNumId w:val="29"/>
  </w:num>
  <w:num w:numId="21" w16cid:durableId="1954171540">
    <w:abstractNumId w:val="8"/>
  </w:num>
  <w:num w:numId="22" w16cid:durableId="410666975">
    <w:abstractNumId w:val="21"/>
  </w:num>
  <w:num w:numId="23" w16cid:durableId="1644386858">
    <w:abstractNumId w:val="3"/>
  </w:num>
  <w:num w:numId="24" w16cid:durableId="1686007827">
    <w:abstractNumId w:val="6"/>
  </w:num>
  <w:num w:numId="25" w16cid:durableId="522212793">
    <w:abstractNumId w:val="1"/>
  </w:num>
  <w:num w:numId="26" w16cid:durableId="364599771">
    <w:abstractNumId w:val="24"/>
  </w:num>
  <w:num w:numId="27" w16cid:durableId="508300420">
    <w:abstractNumId w:val="16"/>
  </w:num>
  <w:num w:numId="28" w16cid:durableId="1545798834">
    <w:abstractNumId w:val="5"/>
  </w:num>
  <w:num w:numId="29" w16cid:durableId="1750347431">
    <w:abstractNumId w:val="14"/>
  </w:num>
  <w:num w:numId="30" w16cid:durableId="197090925">
    <w:abstractNumId w:val="22"/>
  </w:num>
  <w:num w:numId="31" w16cid:durableId="727536773">
    <w:abstractNumId w:val="23"/>
  </w:num>
  <w:num w:numId="32" w16cid:durableId="588202490">
    <w:abstractNumId w:val="12"/>
  </w:num>
  <w:num w:numId="33" w16cid:durableId="191769814">
    <w:abstractNumId w:val="25"/>
  </w:num>
  <w:num w:numId="34" w16cid:durableId="283270092">
    <w:abstractNumId w:val="18"/>
  </w:num>
  <w:num w:numId="35" w16cid:durableId="1869905547">
    <w:abstractNumId w:val="10"/>
  </w:num>
  <w:num w:numId="36" w16cid:durableId="913390887">
    <w:abstractNumId w:val="11"/>
  </w:num>
  <w:num w:numId="37" w16cid:durableId="83233881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1B09"/>
    <w:rsid w:val="00152858"/>
    <w:rsid w:val="001547A6"/>
    <w:rsid w:val="00156802"/>
    <w:rsid w:val="00162140"/>
    <w:rsid w:val="0017189E"/>
    <w:rsid w:val="001741C7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402B"/>
    <w:rsid w:val="002B6B78"/>
    <w:rsid w:val="002C0D91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19BD"/>
    <w:rsid w:val="003577DD"/>
    <w:rsid w:val="00371166"/>
    <w:rsid w:val="00380079"/>
    <w:rsid w:val="00381049"/>
    <w:rsid w:val="00381997"/>
    <w:rsid w:val="003859DE"/>
    <w:rsid w:val="003931BD"/>
    <w:rsid w:val="003A051D"/>
    <w:rsid w:val="003A608C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3CC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843FF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B1454"/>
    <w:rsid w:val="007D0A4D"/>
    <w:rsid w:val="007D427A"/>
    <w:rsid w:val="007D471B"/>
    <w:rsid w:val="007F2BE7"/>
    <w:rsid w:val="007F4F1D"/>
    <w:rsid w:val="0080224A"/>
    <w:rsid w:val="00805374"/>
    <w:rsid w:val="00810E4E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64449"/>
    <w:rsid w:val="00972B53"/>
    <w:rsid w:val="009779B2"/>
    <w:rsid w:val="00985AD3"/>
    <w:rsid w:val="00987908"/>
    <w:rsid w:val="009879D5"/>
    <w:rsid w:val="009A1489"/>
    <w:rsid w:val="009A2DB9"/>
    <w:rsid w:val="009A5580"/>
    <w:rsid w:val="009A5970"/>
    <w:rsid w:val="009B2729"/>
    <w:rsid w:val="009B4498"/>
    <w:rsid w:val="009B665C"/>
    <w:rsid w:val="009B6CA3"/>
    <w:rsid w:val="009B7BCE"/>
    <w:rsid w:val="009C30C0"/>
    <w:rsid w:val="009C31E0"/>
    <w:rsid w:val="009C3DD2"/>
    <w:rsid w:val="009D7063"/>
    <w:rsid w:val="009E389F"/>
    <w:rsid w:val="009E775F"/>
    <w:rsid w:val="00A00EEF"/>
    <w:rsid w:val="00A07881"/>
    <w:rsid w:val="00A23131"/>
    <w:rsid w:val="00A308B3"/>
    <w:rsid w:val="00A321FC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2F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2F70"/>
    <w:rsid w:val="00C9310D"/>
    <w:rsid w:val="00C941B2"/>
    <w:rsid w:val="00C96774"/>
    <w:rsid w:val="00CA0C46"/>
    <w:rsid w:val="00CA67B5"/>
    <w:rsid w:val="00CB2A49"/>
    <w:rsid w:val="00CC3487"/>
    <w:rsid w:val="00CC5AA1"/>
    <w:rsid w:val="00CD6491"/>
    <w:rsid w:val="00CF0D9F"/>
    <w:rsid w:val="00CF6881"/>
    <w:rsid w:val="00D01CA9"/>
    <w:rsid w:val="00D0379C"/>
    <w:rsid w:val="00D048E5"/>
    <w:rsid w:val="00D122BE"/>
    <w:rsid w:val="00D20956"/>
    <w:rsid w:val="00D221AE"/>
    <w:rsid w:val="00D23FAB"/>
    <w:rsid w:val="00D25CB9"/>
    <w:rsid w:val="00D3762E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9410D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5F1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29E"/>
    <w:rsid w:val="00F33D0A"/>
    <w:rsid w:val="00F34984"/>
    <w:rsid w:val="00F37885"/>
    <w:rsid w:val="00F4236B"/>
    <w:rsid w:val="00F51170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4DED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:52006DC0379" TargetMode="External"/><Relationship Id="rId13" Type="http://schemas.openxmlformats.org/officeDocument/2006/relationships/hyperlink" Target="https://ec.europa.eu/info/business-economy-euro/indicators-statistics/economic-databases/business-and-consumer-surveys/download-business-and-consumer-survey-data/time-series_en" TargetMode="External"/><Relationship Id="rId18" Type="http://schemas.openxmlformats.org/officeDocument/2006/relationships/hyperlink" Target="https://eur-lex.europa.eu/legal-content/LV/TXT/?uri=celex%3A32016R067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stat.gov.lv/lv/statistikas-temas/valsts-ekonomika/konjunktura/tabulas/krb030m-saimniecisko-darbibu-ierobezojosie?themeCode=KR" TargetMode="External"/><Relationship Id="rId17" Type="http://schemas.openxmlformats.org/officeDocument/2006/relationships/hyperlink" Target="https://www.bank.l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m.gov.lv/lv/ekonomikas_attistiba/ekonomiska_situacija/latvijas_makroekonomiskais_apskat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likumi.lv/ta/id/287576-oficialas-statistikas-veidlapu-paraugu-apstiprinasanas-un-veidlapu-aizpildisanas-un-iesniegsanas-noteikum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ts.oecd.org/index.aspx?queryid=305" TargetMode="External"/><Relationship Id="rId10" Type="http://schemas.openxmlformats.org/officeDocument/2006/relationships/hyperlink" Target="https://ec.europa.eu/info/files/user-guide-joint-harmonised-eu-programme-business-and-consumer-surveys_en" TargetMode="External"/><Relationship Id="rId19" Type="http://schemas.openxmlformats.org/officeDocument/2006/relationships/hyperlink" Target="https://www.csp.gov.lv/lv/informacijas-drosiba-un-datu-aizsardz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economy-finance.ec.europa.eu/economic-forecast-and-surveys_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4415</Words>
  <Characters>2517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Ieva Vanaga</cp:lastModifiedBy>
  <cp:revision>22</cp:revision>
  <cp:lastPrinted>2021-07-02T08:17:00Z</cp:lastPrinted>
  <dcterms:created xsi:type="dcterms:W3CDTF">2021-05-20T07:57:00Z</dcterms:created>
  <dcterms:modified xsi:type="dcterms:W3CDTF">2025-09-05T14:34:00Z</dcterms:modified>
</cp:coreProperties>
</file>