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BD0F" w14:textId="77777777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32F2C544" wp14:editId="26867E9F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2EF2B913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30B2D277" w14:textId="77777777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proofErr w:type="spellStart"/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</w:t>
      </w:r>
      <w:proofErr w:type="spellEnd"/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5740DA6C" w14:textId="77777777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6E084E1A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4FA938BA" w14:textId="77777777" w:rsidR="0051672D" w:rsidRPr="00396181" w:rsidRDefault="00396181" w:rsidP="008A257A">
      <w:pPr>
        <w:spacing w:after="120" w:line="240" w:lineRule="auto"/>
        <w:ind w:left="0"/>
        <w:rPr>
          <w:sz w:val="26"/>
          <w:szCs w:val="26"/>
        </w:rPr>
      </w:pPr>
      <w:r w:rsidRPr="00396181">
        <w:rPr>
          <w:sz w:val="26"/>
          <w:szCs w:val="26"/>
        </w:rPr>
        <w:t>“Pārskats par kokmateriālu iepirkumu” (1-kokmateriāli)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9F20606" w14:textId="77777777" w:rsidR="000247ED" w:rsidRPr="00C13E38" w:rsidRDefault="00723FD2" w:rsidP="00D449E3">
          <w:pPr>
            <w:pStyle w:val="Saturardtjavirsraksts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44DDCE79" w14:textId="77777777" w:rsidR="00C2402B" w:rsidRPr="00C2402B" w:rsidRDefault="000247ED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ipersaite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C46DDF0" w14:textId="77777777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Pr="00C2402B">
              <w:rPr>
                <w:rStyle w:val="Hipersaite"/>
                <w:noProof/>
                <w:sz w:val="26"/>
                <w:szCs w:val="26"/>
              </w:rPr>
              <w:t>Kāds ir tiesiskais pamats oficiālās statistikas nodrošināšanai?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5BCFBD5" w14:textId="77777777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Pr="00C2402B">
              <w:rPr>
                <w:rStyle w:val="Hipersaite"/>
                <w:noProof/>
                <w:sz w:val="26"/>
                <w:szCs w:val="26"/>
              </w:rPr>
              <w:t>Kur ir noteikts pienākums iesniegt datus?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E15E456" w14:textId="77777777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Pr="00C2402B">
              <w:rPr>
                <w:rStyle w:val="Hipersaite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E5756E" w14:textId="77777777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Pr="00C2402B">
              <w:rPr>
                <w:rStyle w:val="Hipersaite"/>
                <w:noProof/>
                <w:sz w:val="26"/>
                <w:szCs w:val="26"/>
              </w:rPr>
              <w:t>Kam ir jāiesniedz dati?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5D6F406" w14:textId="77777777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Pr="00C2402B">
              <w:rPr>
                <w:rStyle w:val="Hipersaite"/>
                <w:noProof/>
                <w:sz w:val="26"/>
                <w:szCs w:val="26"/>
              </w:rPr>
              <w:t>Kur publicē oficiālo statistiku?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25C55C8" w14:textId="77777777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Pr="00C2402B">
              <w:rPr>
                <w:rStyle w:val="Hipersaite"/>
                <w:noProof/>
                <w:sz w:val="26"/>
                <w:szCs w:val="26"/>
              </w:rPr>
              <w:t>Kas ir galvenie oficiālās statistikas lietotāji?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B53BE0F" w14:textId="77777777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Pr="00C2402B">
              <w:rPr>
                <w:rStyle w:val="Hipersaite"/>
                <w:noProof/>
                <w:sz w:val="26"/>
                <w:szCs w:val="26"/>
              </w:rPr>
              <w:t>Vai Pārvalde ievēro datu konfidencialitāti?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36AF2E93" w14:textId="77777777" w:rsidR="00C2402B" w:rsidRDefault="00C2402B">
          <w:pPr>
            <w:pStyle w:val="Saturs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Pr="00C2402B">
              <w:rPr>
                <w:rStyle w:val="Hipersaite"/>
                <w:noProof/>
                <w:sz w:val="26"/>
                <w:szCs w:val="26"/>
              </w:rPr>
              <w:t>Vai Pārvalde ievēro Vispārējo datu aizsardzības regulu?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799A912B" w14:textId="77777777" w:rsidR="00114A54" w:rsidRPr="00C13E38" w:rsidRDefault="000247ED">
          <w:pPr>
            <w:pStyle w:val="Saturs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39C021AC" w14:textId="77777777" w:rsidR="008C258D" w:rsidRPr="003577DD" w:rsidRDefault="008C258D" w:rsidP="00A513C7">
      <w:pPr>
        <w:pStyle w:val="Virsraksts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1AD8917D" w14:textId="77777777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Pr="007117AC">
          <w:rPr>
            <w:rStyle w:val="Hipersaite"/>
            <w:rFonts w:cs="Verdana"/>
            <w:szCs w:val="20"/>
          </w:rPr>
          <w:t>Oficiālās statistikas programmas</w:t>
        </w:r>
      </w:hyperlink>
      <w:r w:rsidRPr="00CF6881">
        <w:rPr>
          <w:color w:val="0000FF"/>
        </w:rPr>
        <w:t xml:space="preserve"> </w:t>
      </w:r>
      <w:r w:rsidRPr="00CF6881">
        <w:t>pie</w:t>
      </w:r>
      <w:r w:rsidRPr="009404C8">
        <w:t xml:space="preserve">likuma </w:t>
      </w:r>
      <w:r w:rsidRPr="00396181">
        <w:t>1.</w:t>
      </w:r>
      <w:r w:rsidR="00981005" w:rsidRPr="00396181">
        <w:t> </w:t>
      </w:r>
      <w:r w:rsidRPr="00396181">
        <w:t xml:space="preserve">punktā (Nacionālo kontu sistēma) un </w:t>
      </w:r>
      <w:r w:rsidR="00396181" w:rsidRPr="00396181">
        <w:rPr>
          <w:szCs w:val="20"/>
        </w:rPr>
        <w:t>17. punktā (Mežsaimniecības statistika)</w:t>
      </w:r>
      <w:r w:rsidR="00396181" w:rsidRPr="00396181">
        <w:t>.</w:t>
      </w:r>
    </w:p>
    <w:p w14:paraId="01521F43" w14:textId="77777777" w:rsidR="00396181" w:rsidRDefault="001E0BFD" w:rsidP="00396181">
      <w:r>
        <w:t>Ikviena</w:t>
      </w:r>
      <w:r w:rsidR="00396181">
        <w:t xml:space="preserve"> uzņēmuma dati sniedz būtisku ieguldījumu informācijas sagatavošanā par   iepirkuma cenām taras klučiem, finierklučiem un  apaļkokiem pa attiecīgajām koku sugām un diametru sortimentiem Latvijā.</w:t>
      </w:r>
    </w:p>
    <w:p w14:paraId="4685FF51" w14:textId="77777777" w:rsidR="00396181" w:rsidRDefault="00396181" w:rsidP="00396181">
      <w:r>
        <w:t>Pārskatā iegūtos datus izmanto arī:</w:t>
      </w:r>
    </w:p>
    <w:p w14:paraId="1DA0A630" w14:textId="77777777" w:rsidR="00396181" w:rsidRDefault="00396181" w:rsidP="00396181">
      <w:pPr>
        <w:pStyle w:val="Bezatstarpm"/>
      </w:pPr>
      <w:r>
        <w:t>kadastrālo vērtību bāzes, konkrētāk, meža zemes vērtību zonējuma izstrādei;</w:t>
      </w:r>
    </w:p>
    <w:p w14:paraId="371443A0" w14:textId="77777777" w:rsidR="00396181" w:rsidRDefault="00396181" w:rsidP="00396181">
      <w:pPr>
        <w:pStyle w:val="Bezatstarpm"/>
      </w:pPr>
      <w:r>
        <w:t>meža apsaimniekošanas un izmantošanas politikas plānošanas dokumentu sagatavošanai;</w:t>
      </w:r>
    </w:p>
    <w:p w14:paraId="1F730FD8" w14:textId="77777777" w:rsidR="00381049" w:rsidRDefault="00396181" w:rsidP="00396181">
      <w:pPr>
        <w:pStyle w:val="Bezatstarpm"/>
        <w:rPr>
          <w:bCs/>
          <w:color w:val="000000"/>
        </w:rPr>
      </w:pPr>
      <w:r>
        <w:t>normatīvo aktu (piemēram, par atbalsta apjomu, par mežam nodarīto zaudējumu apjomu) sagatavošanā.</w:t>
      </w:r>
    </w:p>
    <w:p w14:paraId="1C338639" w14:textId="77777777" w:rsidR="00FB66EA" w:rsidRPr="00C13E38" w:rsidRDefault="008C258D" w:rsidP="004652B7">
      <w:pPr>
        <w:pStyle w:val="Virsraksts1"/>
        <w:numPr>
          <w:ilvl w:val="0"/>
          <w:numId w:val="26"/>
        </w:numPr>
      </w:pPr>
      <w:bookmarkStart w:id="2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7FB0E762" w14:textId="77777777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396181">
        <w:t>o</w:t>
      </w:r>
      <w:r w:rsidRPr="00C13E38">
        <w:t xml:space="preserve"> </w:t>
      </w:r>
      <w:r w:rsidR="00322F85" w:rsidRPr="00C13E38">
        <w:t>tiesību aktu:</w:t>
      </w:r>
    </w:p>
    <w:bookmarkStart w:id="3" w:name="_Hlk73106974"/>
    <w:p w14:paraId="40A9A106" w14:textId="77777777" w:rsidR="00156802" w:rsidRDefault="00350EA2" w:rsidP="008A2572">
      <w:pPr>
        <w:pStyle w:val="Bezatstarpm"/>
        <w:numPr>
          <w:ilvl w:val="2"/>
          <w:numId w:val="26"/>
        </w:numPr>
      </w:pPr>
      <w:r>
        <w:fldChar w:fldCharType="begin"/>
      </w:r>
      <w:r>
        <w:instrText xml:space="preserve"> HYPERLINK "https://likumi.lv/ta/id/312662" \l "p57" </w:instrText>
      </w:r>
      <w:r>
        <w:fldChar w:fldCharType="separate"/>
      </w:r>
      <w:r w:rsidR="00396181" w:rsidRPr="00396181">
        <w:rPr>
          <w:rStyle w:val="Hipersaite"/>
        </w:rPr>
        <w:t>Ministru kabineta 2020.</w:t>
      </w:r>
      <w:r w:rsidR="00396181">
        <w:rPr>
          <w:rStyle w:val="Hipersaite"/>
        </w:rPr>
        <w:t> </w:t>
      </w:r>
      <w:r w:rsidR="00396181" w:rsidRPr="00396181">
        <w:rPr>
          <w:rStyle w:val="Hipersaite"/>
        </w:rPr>
        <w:t>gada 18.</w:t>
      </w:r>
      <w:r w:rsidR="00396181">
        <w:rPr>
          <w:rStyle w:val="Hipersaite"/>
        </w:rPr>
        <w:t> </w:t>
      </w:r>
      <w:r w:rsidR="00396181" w:rsidRPr="00396181">
        <w:rPr>
          <w:rStyle w:val="Hipersaite"/>
        </w:rPr>
        <w:t>februāra noteikumu</w:t>
      </w:r>
      <w:r w:rsidR="00606C57">
        <w:rPr>
          <w:rStyle w:val="Hipersaite"/>
        </w:rPr>
        <w:t>s</w:t>
      </w:r>
      <w:r w:rsidR="00396181" w:rsidRPr="00396181">
        <w:rPr>
          <w:rStyle w:val="Hipersaite"/>
        </w:rPr>
        <w:t xml:space="preserve"> Nr. 103 "Kadastrālās vērtēšanas noteikumi" </w:t>
      </w:r>
      <w:r w:rsidR="00606C57">
        <w:rPr>
          <w:rStyle w:val="Hipersaite"/>
        </w:rPr>
        <w:t>(</w:t>
      </w:r>
      <w:r w:rsidR="00396181" w:rsidRPr="00396181">
        <w:rPr>
          <w:rStyle w:val="Hipersaite"/>
        </w:rPr>
        <w:t>57.1.</w:t>
      </w:r>
      <w:r w:rsidR="00396181">
        <w:rPr>
          <w:rStyle w:val="Hipersaite"/>
        </w:rPr>
        <w:t> </w:t>
      </w:r>
      <w:r w:rsidR="00396181" w:rsidRPr="00396181">
        <w:rPr>
          <w:rStyle w:val="Hipersaite"/>
        </w:rPr>
        <w:t>punkts</w:t>
      </w:r>
      <w:r>
        <w:rPr>
          <w:rStyle w:val="Hipersaite"/>
        </w:rPr>
        <w:fldChar w:fldCharType="end"/>
      </w:r>
      <w:r w:rsidR="00606C57">
        <w:rPr>
          <w:rStyle w:val="Hipersaite"/>
        </w:rPr>
        <w:t>)</w:t>
      </w:r>
      <w:r w:rsidR="00396181" w:rsidRPr="00396181">
        <w:t>.</w:t>
      </w:r>
    </w:p>
    <w:p w14:paraId="469337EC" w14:textId="77777777" w:rsidR="00E47D56" w:rsidRPr="00F37885" w:rsidRDefault="008C258D" w:rsidP="00A513C7">
      <w:pPr>
        <w:pStyle w:val="Virsraksts1"/>
        <w:numPr>
          <w:ilvl w:val="0"/>
          <w:numId w:val="29"/>
        </w:numPr>
      </w:pPr>
      <w:bookmarkStart w:id="4" w:name="_Toc70071549"/>
      <w:bookmarkEnd w:id="3"/>
      <w:r>
        <w:t>Kur ir noteikts p</w:t>
      </w:r>
      <w:r w:rsidR="00E47D56" w:rsidRPr="00F37885">
        <w:t>ienākums iesniegt datus</w:t>
      </w:r>
      <w:r>
        <w:t>?</w:t>
      </w:r>
      <w:bookmarkEnd w:id="4"/>
    </w:p>
    <w:p w14:paraId="18D54349" w14:textId="77777777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8" w:anchor="p14" w:history="1">
        <w:r w:rsidRPr="008C1740">
          <w:rPr>
            <w:rStyle w:val="Hipersaite"/>
            <w:rFonts w:cs="Times New Roman"/>
            <w:szCs w:val="20"/>
          </w:rPr>
          <w:t>Stat</w:t>
        </w:r>
        <w:r w:rsidR="00DC7EFA" w:rsidRPr="008C1740">
          <w:rPr>
            <w:rStyle w:val="Hipersaite"/>
            <w:rFonts w:cs="Times New Roman"/>
            <w:szCs w:val="20"/>
          </w:rPr>
          <w:t>i</w:t>
        </w:r>
        <w:r w:rsidRPr="008C1740">
          <w:rPr>
            <w:rStyle w:val="Hipersaite"/>
            <w:rFonts w:cs="Times New Roman"/>
            <w:szCs w:val="20"/>
          </w:rPr>
          <w:t>s</w:t>
        </w:r>
        <w:r w:rsidR="00DC7EFA" w:rsidRPr="008C1740">
          <w:rPr>
            <w:rStyle w:val="Hipersaite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4883063C" w14:textId="77777777" w:rsidR="0004332C" w:rsidRPr="00C13E38" w:rsidRDefault="008C258D" w:rsidP="004652B7">
      <w:pPr>
        <w:pStyle w:val="Virsraksts1"/>
        <w:numPr>
          <w:ilvl w:val="0"/>
          <w:numId w:val="25"/>
        </w:numPr>
      </w:pPr>
      <w:bookmarkStart w:id="5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5"/>
    </w:p>
    <w:p w14:paraId="659306E8" w14:textId="77777777" w:rsidR="00381049" w:rsidRDefault="00396181" w:rsidP="00CF0D9F">
      <w:r>
        <w:t>Administratīvo datu nav.</w:t>
      </w:r>
    </w:p>
    <w:p w14:paraId="547CEDB0" w14:textId="77777777" w:rsidR="004E42BB" w:rsidRPr="00C13E38" w:rsidRDefault="00D44A6F" w:rsidP="004652B7">
      <w:pPr>
        <w:pStyle w:val="Virsraksts1"/>
        <w:numPr>
          <w:ilvl w:val="0"/>
          <w:numId w:val="24"/>
        </w:numPr>
      </w:pPr>
      <w:bookmarkStart w:id="6" w:name="_Toc70071551"/>
      <w:r>
        <w:t>Kam ir jāiesniedz dati?</w:t>
      </w:r>
      <w:bookmarkEnd w:id="6"/>
    </w:p>
    <w:p w14:paraId="57B758FF" w14:textId="77777777" w:rsidR="00396181" w:rsidRDefault="00396181" w:rsidP="00396181">
      <w:proofErr w:type="spellStart"/>
      <w:r>
        <w:t>Apsekojumā</w:t>
      </w:r>
      <w:proofErr w:type="spellEnd"/>
      <w:r>
        <w:t xml:space="preserve"> iekļauj:</w:t>
      </w:r>
    </w:p>
    <w:p w14:paraId="2FDE033B" w14:textId="36CA02DC" w:rsidR="00396181" w:rsidRPr="002F1A4F" w:rsidRDefault="00396181" w:rsidP="00396181">
      <w:pPr>
        <w:pStyle w:val="Bezatstarpm"/>
      </w:pPr>
      <w:r w:rsidRPr="00B04E0C">
        <w:t>uzņēmumus, kuru saimnieciskās darbības veids</w:t>
      </w:r>
      <w:r w:rsidR="000700CC" w:rsidRPr="00B04E0C">
        <w:t>,</w:t>
      </w:r>
      <w:r w:rsidR="000700CC" w:rsidRPr="00B04E0C">
        <w:rPr>
          <w:rFonts w:ascii="Times New Roman" w:hAnsi="Times New Roman" w:cs="Times New Roman"/>
          <w:sz w:val="24"/>
          <w:szCs w:val="24"/>
        </w:rPr>
        <w:t xml:space="preserve"> </w:t>
      </w:r>
      <w:r w:rsidR="000700CC" w:rsidRPr="00B04E0C">
        <w:t>saskaņā ar Saimniecisko darbību statistisk</w:t>
      </w:r>
      <w:r w:rsidR="00B04E0C" w:rsidRPr="00B04E0C">
        <w:t>o</w:t>
      </w:r>
      <w:r w:rsidR="000700CC" w:rsidRPr="00B04E0C">
        <w:t xml:space="preserve"> klasifikācij</w:t>
      </w:r>
      <w:r w:rsidR="00B04E0C" w:rsidRPr="00B04E0C">
        <w:t>u</w:t>
      </w:r>
      <w:r w:rsidR="000700CC" w:rsidRPr="00B04E0C">
        <w:t xml:space="preserve"> </w:t>
      </w:r>
      <w:r w:rsidR="000700CC" w:rsidRPr="002F1A4F">
        <w:t>Eiropas Kopienā</w:t>
      </w:r>
      <w:r w:rsidR="00A20B76" w:rsidRPr="002F1A4F">
        <w:t>,</w:t>
      </w:r>
      <w:r w:rsidR="000700CC" w:rsidRPr="002F1A4F">
        <w:t xml:space="preserve"> 2.</w:t>
      </w:r>
      <w:r w:rsidR="003D3D7E" w:rsidRPr="002F1A4F">
        <w:t>1</w:t>
      </w:r>
      <w:r w:rsidR="00A20B76" w:rsidRPr="002F1A4F">
        <w:t xml:space="preserve"> </w:t>
      </w:r>
      <w:proofErr w:type="spellStart"/>
      <w:r w:rsidR="000700CC" w:rsidRPr="002F1A4F">
        <w:t>red</w:t>
      </w:r>
      <w:proofErr w:type="spellEnd"/>
      <w:r w:rsidR="00A20B76" w:rsidRPr="002F1A4F">
        <w:t>.,</w:t>
      </w:r>
      <w:r w:rsidR="000700CC" w:rsidRPr="002F1A4F">
        <w:t xml:space="preserve"> </w:t>
      </w:r>
      <w:r w:rsidRPr="002F1A4F">
        <w:t>ir</w:t>
      </w:r>
      <w:r w:rsidR="00A20B76" w:rsidRPr="002F1A4F">
        <w:t xml:space="preserve"> klasificēts klasēs </w:t>
      </w:r>
      <w:r w:rsidR="00A05DA6" w:rsidRPr="002F1A4F">
        <w:t>16.1</w:t>
      </w:r>
      <w:r w:rsidR="003D3D7E" w:rsidRPr="002F1A4F">
        <w:t>1</w:t>
      </w:r>
      <w:r w:rsidR="00A05DA6" w:rsidRPr="002F1A4F">
        <w:t xml:space="preserve"> </w:t>
      </w:r>
      <w:r w:rsidR="00484FB4" w:rsidRPr="002F1A4F">
        <w:t>”</w:t>
      </w:r>
      <w:r w:rsidR="003D3D7E" w:rsidRPr="002F1A4F">
        <w:t>Koku z</w:t>
      </w:r>
      <w:r w:rsidRPr="002F1A4F">
        <w:t>āģēšana</w:t>
      </w:r>
      <w:r w:rsidR="003D3D7E" w:rsidRPr="002F1A4F">
        <w:t xml:space="preserve"> un koksnes</w:t>
      </w:r>
      <w:r w:rsidRPr="002F1A4F">
        <w:t xml:space="preserve"> ēvelēšana</w:t>
      </w:r>
      <w:r w:rsidR="003D3D7E" w:rsidRPr="002F1A4F">
        <w:t xml:space="preserve">” </w:t>
      </w:r>
      <w:r w:rsidR="00A20B76" w:rsidRPr="002F1A4F">
        <w:t xml:space="preserve">un </w:t>
      </w:r>
      <w:r w:rsidR="00A05DA6" w:rsidRPr="002F1A4F">
        <w:t xml:space="preserve">16.21 </w:t>
      </w:r>
      <w:r w:rsidR="00484FB4" w:rsidRPr="002F1A4F">
        <w:t>”F</w:t>
      </w:r>
      <w:r w:rsidRPr="002F1A4F">
        <w:t>iniera lokšņu un kok</w:t>
      </w:r>
      <w:r w:rsidR="005239CB" w:rsidRPr="002F1A4F">
        <w:t>snes</w:t>
      </w:r>
      <w:r w:rsidRPr="002F1A4F">
        <w:t xml:space="preserve"> p</w:t>
      </w:r>
      <w:r w:rsidR="005239CB" w:rsidRPr="002F1A4F">
        <w:t xml:space="preserve">lātņu </w:t>
      </w:r>
      <w:r w:rsidRPr="002F1A4F">
        <w:t>ražošana</w:t>
      </w:r>
      <w:r w:rsidR="00484FB4" w:rsidRPr="002F1A4F">
        <w:t>”</w:t>
      </w:r>
      <w:r w:rsidRPr="002F1A4F">
        <w:t>;</w:t>
      </w:r>
    </w:p>
    <w:p w14:paraId="732ECB0B" w14:textId="77777777" w:rsidR="00D20956" w:rsidRPr="00F33D0A" w:rsidRDefault="00396181" w:rsidP="00396181">
      <w:pPr>
        <w:pStyle w:val="Bezatstarpm"/>
      </w:pPr>
      <w:r>
        <w:t>uzņēmumus, kuru galvenais darbības veids neietilpst iepriekšminētajās nozarēs, bet tie ir veikuši apaļo kokmateriālu iepirkumus iepriekšējā gada laikā.</w:t>
      </w:r>
    </w:p>
    <w:p w14:paraId="65305251" w14:textId="77777777" w:rsidR="004B588B" w:rsidRDefault="00F33D0A" w:rsidP="004B588B">
      <w:r w:rsidRPr="009E389F">
        <w:t xml:space="preserve">Izlases izveidošanas </w:t>
      </w:r>
      <w:r>
        <w:t>standarts</w:t>
      </w:r>
      <w:r w:rsidRPr="009E389F">
        <w:t>:</w:t>
      </w:r>
      <w:bookmarkStart w:id="7" w:name="_Hlk73618850"/>
    </w:p>
    <w:p w14:paraId="09D2C7DE" w14:textId="77777777" w:rsidR="00350EA2" w:rsidRDefault="004B588B" w:rsidP="00350EA2">
      <w:pPr>
        <w:pStyle w:val="Bezatstarpm"/>
        <w:numPr>
          <w:ilvl w:val="2"/>
          <w:numId w:val="26"/>
        </w:numPr>
      </w:pPr>
      <w:r w:rsidRPr="00A611D9">
        <w:t xml:space="preserve">Izlases apjoms un tajā ietveramās nozares izriet no </w:t>
      </w:r>
      <w:hyperlink r:id="rId9" w:history="1">
        <w:r w:rsidRPr="00A611D9">
          <w:rPr>
            <w:rStyle w:val="Hipersaite"/>
          </w:rPr>
          <w:t>Ministru kabineta 2016. gada 20. decembra noteikumiem Nr. 812</w:t>
        </w:r>
      </w:hyperlink>
      <w:r w:rsidRPr="00A611D9">
        <w:t xml:space="preserve"> ”Oficiālās statistikas veidlapu paraugu apstiprināšanas un veidlapu aizpildīšanas un iesniegšanas noteikumi”.</w:t>
      </w:r>
      <w:bookmarkEnd w:id="7"/>
    </w:p>
    <w:p w14:paraId="764A4C56" w14:textId="77777777" w:rsidR="009B665C" w:rsidRPr="00C13E38" w:rsidRDefault="00D44A6F" w:rsidP="004652B7">
      <w:pPr>
        <w:pStyle w:val="Virsraksts1"/>
        <w:numPr>
          <w:ilvl w:val="0"/>
          <w:numId w:val="21"/>
        </w:numPr>
      </w:pPr>
      <w:bookmarkStart w:id="8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8"/>
    </w:p>
    <w:p w14:paraId="1B5F8464" w14:textId="77777777" w:rsidR="00396181" w:rsidRPr="00396181" w:rsidRDefault="00396181" w:rsidP="00396181">
      <w:pPr>
        <w:pStyle w:val="Bezatstarpm"/>
        <w:rPr>
          <w:rStyle w:val="Hipersaite"/>
          <w:rFonts w:cs="Times New Roman"/>
          <w:color w:val="auto"/>
          <w:szCs w:val="20"/>
        </w:rPr>
      </w:pPr>
      <w:bookmarkStart w:id="9" w:name="_Toc40698654"/>
      <w:r w:rsidRPr="00396181">
        <w:rPr>
          <w:rStyle w:val="Hipersaite"/>
          <w:rFonts w:cs="Times New Roman"/>
          <w:color w:val="auto"/>
          <w:szCs w:val="20"/>
        </w:rPr>
        <w:t>Oficiālās statistikas portālā:</w:t>
      </w:r>
    </w:p>
    <w:p w14:paraId="3A66C1A0" w14:textId="77777777" w:rsidR="00381049" w:rsidRPr="00F914B8" w:rsidRDefault="00396181" w:rsidP="00396181">
      <w:pPr>
        <w:pStyle w:val="Bezatstarpm"/>
        <w:numPr>
          <w:ilvl w:val="1"/>
          <w:numId w:val="3"/>
        </w:numPr>
        <w:rPr>
          <w:rStyle w:val="Hipersaite"/>
          <w:rFonts w:cs="Times New Roman"/>
          <w:color w:val="auto"/>
          <w:szCs w:val="20"/>
        </w:rPr>
      </w:pPr>
      <w:hyperlink r:id="rId10" w:history="1">
        <w:r w:rsidRPr="00396181">
          <w:rPr>
            <w:rStyle w:val="Hipersaite"/>
            <w:rFonts w:cs="Times New Roman"/>
            <w:szCs w:val="20"/>
          </w:rPr>
          <w:t>Apaļkoku vidējās iepirkuma cenas (EUR/m³ (bez PVN))</w:t>
        </w:r>
      </w:hyperlink>
    </w:p>
    <w:p w14:paraId="131EF40A" w14:textId="77777777" w:rsidR="005472C0" w:rsidRPr="00C13E38" w:rsidRDefault="004D4ABE" w:rsidP="004652B7">
      <w:pPr>
        <w:pStyle w:val="Virsraksts1"/>
        <w:numPr>
          <w:ilvl w:val="0"/>
          <w:numId w:val="22"/>
        </w:numPr>
      </w:pPr>
      <w:bookmarkStart w:id="10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9"/>
      <w:r>
        <w:t>?</w:t>
      </w:r>
      <w:bookmarkEnd w:id="10"/>
    </w:p>
    <w:p w14:paraId="2584E01A" w14:textId="77777777" w:rsidR="00844041" w:rsidRDefault="00844041" w:rsidP="00844041">
      <w:pPr>
        <w:pStyle w:val="Bezatstarpm"/>
      </w:pPr>
      <w:r>
        <w:t>Zemkopības ministrija (</w:t>
      </w:r>
      <w:hyperlink r:id="rId11" w:history="1">
        <w:r w:rsidRPr="00844041">
          <w:rPr>
            <w:rStyle w:val="Hipersaite"/>
          </w:rPr>
          <w:t>ZM</w:t>
        </w:r>
      </w:hyperlink>
      <w:r>
        <w:t>)</w:t>
      </w:r>
    </w:p>
    <w:p w14:paraId="75960F52" w14:textId="77777777" w:rsidR="00381049" w:rsidRPr="00FB06BA" w:rsidRDefault="00844041" w:rsidP="00844041">
      <w:pPr>
        <w:pStyle w:val="Bezatstarpm"/>
        <w:rPr>
          <w:b/>
        </w:rPr>
      </w:pPr>
      <w:r>
        <w:t xml:space="preserve">Valsts zemes dienests: </w:t>
      </w:r>
      <w:hyperlink r:id="rId12" w:history="1">
        <w:r w:rsidRPr="00844041">
          <w:rPr>
            <w:rStyle w:val="Hipersaite"/>
          </w:rPr>
          <w:t>Kadastrālo vērtību bāzes</w:t>
        </w:r>
      </w:hyperlink>
    </w:p>
    <w:p w14:paraId="18D6C0BE" w14:textId="77777777" w:rsidR="00CB2A49" w:rsidRPr="00C13E38" w:rsidRDefault="004D4ABE" w:rsidP="00A513C7">
      <w:pPr>
        <w:pStyle w:val="Virsraksts1"/>
        <w:numPr>
          <w:ilvl w:val="0"/>
          <w:numId w:val="30"/>
        </w:numPr>
      </w:pPr>
      <w:bookmarkStart w:id="11" w:name="_Toc70071554"/>
      <w:r>
        <w:lastRenderedPageBreak/>
        <w:t>Vai Pārvalde ievēro d</w:t>
      </w:r>
      <w:r w:rsidR="00CB2A49" w:rsidRPr="00C13E38">
        <w:t>atu konfidencialitāt</w:t>
      </w:r>
      <w:r>
        <w:t>i?</w:t>
      </w:r>
      <w:bookmarkEnd w:id="11"/>
    </w:p>
    <w:p w14:paraId="01ACE78F" w14:textId="77777777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613C04B5" w14:textId="77777777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568D7097" w14:textId="77777777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0B2543B9" w14:textId="77777777" w:rsidR="00CB2A49" w:rsidRPr="00C13E38" w:rsidRDefault="00B96FA5" w:rsidP="003931BD">
      <w:pPr>
        <w:pStyle w:val="Virsraksts1"/>
        <w:numPr>
          <w:ilvl w:val="0"/>
          <w:numId w:val="20"/>
        </w:numPr>
      </w:pPr>
      <w:bookmarkStart w:id="12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2"/>
    </w:p>
    <w:p w14:paraId="2FA3D524" w14:textId="77777777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3B34A41D" w14:textId="77777777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3" w:history="1">
        <w:r w:rsidR="00953091" w:rsidRPr="00CF6881">
          <w:rPr>
            <w:rStyle w:val="Hipersaite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6D88C4CC" w14:textId="7777777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4" w:history="1">
        <w:r w:rsidR="00266B52" w:rsidRPr="00F21D6D">
          <w:rPr>
            <w:rStyle w:val="Hipersaite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BAE04B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ttēls 814766516" o:spid="_x0000_i1025" type="#_x0000_t75" style="width:1in;height:1in;visibility:visible;mso-wrap-style:square">
            <v:imagedata r:id="rId1" o:title=""/>
          </v:shape>
        </w:pict>
      </mc:Choice>
      <mc:Fallback>
        <w:drawing>
          <wp:inline distT="0" distB="0" distL="0" distR="0" wp14:anchorId="1F086A3F">
            <wp:extent cx="914400" cy="914400"/>
            <wp:effectExtent l="0" t="0" r="0" b="0"/>
            <wp:docPr id="814766516" name="Attēls 814766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6847888"/>
    <w:multiLevelType w:val="hybridMultilevel"/>
    <w:tmpl w:val="2B129B74"/>
    <w:lvl w:ilvl="0" w:tplc="E58E2534">
      <w:numFmt w:val="bullet"/>
      <w:pStyle w:val="Bezatstarpm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ABC40006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22003BF"/>
    <w:multiLevelType w:val="hybridMultilevel"/>
    <w:tmpl w:val="EE3AD140"/>
    <w:lvl w:ilvl="0" w:tplc="356E06B4">
      <w:numFmt w:val="bullet"/>
      <w:pStyle w:val="Saturs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27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141873052">
    <w:abstractNumId w:val="14"/>
  </w:num>
  <w:num w:numId="2" w16cid:durableId="413743666">
    <w:abstractNumId w:val="26"/>
  </w:num>
  <w:num w:numId="3" w16cid:durableId="1326204151">
    <w:abstractNumId w:val="18"/>
  </w:num>
  <w:num w:numId="4" w16cid:durableId="1044329750">
    <w:abstractNumId w:val="19"/>
  </w:num>
  <w:num w:numId="5" w16cid:durableId="726882610">
    <w:abstractNumId w:val="27"/>
  </w:num>
  <w:num w:numId="6" w16cid:durableId="1791624726">
    <w:abstractNumId w:val="25"/>
  </w:num>
  <w:num w:numId="7" w16cid:durableId="1981104932">
    <w:abstractNumId w:val="14"/>
  </w:num>
  <w:num w:numId="8" w16cid:durableId="1739354429">
    <w:abstractNumId w:val="14"/>
  </w:num>
  <w:num w:numId="9" w16cid:durableId="1257862624">
    <w:abstractNumId w:val="14"/>
  </w:num>
  <w:num w:numId="10" w16cid:durableId="237397922">
    <w:abstractNumId w:val="14"/>
  </w:num>
  <w:num w:numId="11" w16cid:durableId="164592990">
    <w:abstractNumId w:val="0"/>
  </w:num>
  <w:num w:numId="12" w16cid:durableId="1916695710">
    <w:abstractNumId w:val="18"/>
  </w:num>
  <w:num w:numId="13" w16cid:durableId="1533228406">
    <w:abstractNumId w:val="9"/>
  </w:num>
  <w:num w:numId="14" w16cid:durableId="38939155">
    <w:abstractNumId w:val="4"/>
  </w:num>
  <w:num w:numId="15" w16cid:durableId="308292485">
    <w:abstractNumId w:val="16"/>
  </w:num>
  <w:num w:numId="16" w16cid:durableId="1846284651">
    <w:abstractNumId w:val="2"/>
  </w:num>
  <w:num w:numId="17" w16cid:durableId="1980767677">
    <w:abstractNumId w:val="19"/>
  </w:num>
  <w:num w:numId="18" w16cid:durableId="1760908767">
    <w:abstractNumId w:val="19"/>
  </w:num>
  <w:num w:numId="19" w16cid:durableId="2061442251">
    <w:abstractNumId w:val="7"/>
  </w:num>
  <w:num w:numId="20" w16cid:durableId="1113019584">
    <w:abstractNumId w:val="28"/>
  </w:num>
  <w:num w:numId="21" w16cid:durableId="811018132">
    <w:abstractNumId w:val="8"/>
  </w:num>
  <w:num w:numId="22" w16cid:durableId="526260026">
    <w:abstractNumId w:val="20"/>
  </w:num>
  <w:num w:numId="23" w16cid:durableId="1085539420">
    <w:abstractNumId w:val="3"/>
  </w:num>
  <w:num w:numId="24" w16cid:durableId="1558778222">
    <w:abstractNumId w:val="6"/>
  </w:num>
  <w:num w:numId="25" w16cid:durableId="2010407770">
    <w:abstractNumId w:val="1"/>
  </w:num>
  <w:num w:numId="26" w16cid:durableId="1836408172">
    <w:abstractNumId w:val="23"/>
  </w:num>
  <w:num w:numId="27" w16cid:durableId="739521743">
    <w:abstractNumId w:val="15"/>
  </w:num>
  <w:num w:numId="28" w16cid:durableId="1823424314">
    <w:abstractNumId w:val="5"/>
  </w:num>
  <w:num w:numId="29" w16cid:durableId="1931884252">
    <w:abstractNumId w:val="13"/>
  </w:num>
  <w:num w:numId="30" w16cid:durableId="400105551">
    <w:abstractNumId w:val="21"/>
  </w:num>
  <w:num w:numId="31" w16cid:durableId="1593589170">
    <w:abstractNumId w:val="22"/>
  </w:num>
  <w:num w:numId="32" w16cid:durableId="1780373911">
    <w:abstractNumId w:val="12"/>
  </w:num>
  <w:num w:numId="33" w16cid:durableId="1882665029">
    <w:abstractNumId w:val="24"/>
  </w:num>
  <w:num w:numId="34" w16cid:durableId="3672224">
    <w:abstractNumId w:val="17"/>
  </w:num>
  <w:num w:numId="35" w16cid:durableId="1942227287">
    <w:abstractNumId w:val="10"/>
  </w:num>
  <w:num w:numId="36" w16cid:durableId="213104341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6AB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00CC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54DB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0BFD"/>
    <w:rsid w:val="001E7D4C"/>
    <w:rsid w:val="001F09D2"/>
    <w:rsid w:val="001F18B1"/>
    <w:rsid w:val="001F29F5"/>
    <w:rsid w:val="001F6F0A"/>
    <w:rsid w:val="002118B5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3100"/>
    <w:rsid w:val="002B6B78"/>
    <w:rsid w:val="002C0D91"/>
    <w:rsid w:val="002C73C5"/>
    <w:rsid w:val="002E7646"/>
    <w:rsid w:val="002E7D10"/>
    <w:rsid w:val="002F1A4F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0EA2"/>
    <w:rsid w:val="003510A4"/>
    <w:rsid w:val="003577DD"/>
    <w:rsid w:val="00371166"/>
    <w:rsid w:val="00380079"/>
    <w:rsid w:val="00381049"/>
    <w:rsid w:val="00381997"/>
    <w:rsid w:val="003859DE"/>
    <w:rsid w:val="003931BD"/>
    <w:rsid w:val="00396181"/>
    <w:rsid w:val="003A051D"/>
    <w:rsid w:val="003B371D"/>
    <w:rsid w:val="003B67AC"/>
    <w:rsid w:val="003C75AA"/>
    <w:rsid w:val="003D3C83"/>
    <w:rsid w:val="003D3D7E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84FB4"/>
    <w:rsid w:val="004A1928"/>
    <w:rsid w:val="004A2368"/>
    <w:rsid w:val="004A290C"/>
    <w:rsid w:val="004A598E"/>
    <w:rsid w:val="004A74C8"/>
    <w:rsid w:val="004B396D"/>
    <w:rsid w:val="004B407B"/>
    <w:rsid w:val="004B588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239CB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91D58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06C57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17AC"/>
    <w:rsid w:val="00712790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12E8B"/>
    <w:rsid w:val="00813119"/>
    <w:rsid w:val="00824B4C"/>
    <w:rsid w:val="00830A20"/>
    <w:rsid w:val="00835677"/>
    <w:rsid w:val="00844041"/>
    <w:rsid w:val="0084776C"/>
    <w:rsid w:val="008550CE"/>
    <w:rsid w:val="008628D7"/>
    <w:rsid w:val="008629E4"/>
    <w:rsid w:val="00863698"/>
    <w:rsid w:val="008646CB"/>
    <w:rsid w:val="00864916"/>
    <w:rsid w:val="00870E86"/>
    <w:rsid w:val="008725E2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F270E"/>
    <w:rsid w:val="008F7FBA"/>
    <w:rsid w:val="00904B80"/>
    <w:rsid w:val="009138EA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0A5E"/>
    <w:rsid w:val="00981005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A00EEF"/>
    <w:rsid w:val="00A05DA6"/>
    <w:rsid w:val="00A20B76"/>
    <w:rsid w:val="00A23131"/>
    <w:rsid w:val="00A308B3"/>
    <w:rsid w:val="00A33DCE"/>
    <w:rsid w:val="00A513C7"/>
    <w:rsid w:val="00A57C84"/>
    <w:rsid w:val="00A6736D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4A04"/>
    <w:rsid w:val="00B04E0C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04708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C5AA1"/>
    <w:rsid w:val="00CD1655"/>
    <w:rsid w:val="00CD6491"/>
    <w:rsid w:val="00CF0D9F"/>
    <w:rsid w:val="00CF6881"/>
    <w:rsid w:val="00D01CA9"/>
    <w:rsid w:val="00D0379C"/>
    <w:rsid w:val="00D048E5"/>
    <w:rsid w:val="00D122BE"/>
    <w:rsid w:val="00D20956"/>
    <w:rsid w:val="00D25CB9"/>
    <w:rsid w:val="00D30E53"/>
    <w:rsid w:val="00D436B2"/>
    <w:rsid w:val="00D44222"/>
    <w:rsid w:val="00D44509"/>
    <w:rsid w:val="00D449E3"/>
    <w:rsid w:val="00D44A6F"/>
    <w:rsid w:val="00D51E2B"/>
    <w:rsid w:val="00D60A68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ED7041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297BE4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6BF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6BF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6BF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6BF3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Parasts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Noklusjumarindkopasfonts"/>
    <w:link w:val="Mansstils"/>
    <w:rsid w:val="00381049"/>
    <w:rPr>
      <w:rFonts w:ascii="Verdana" w:hAnsi="Verdana"/>
      <w:b/>
      <w:sz w:val="20"/>
    </w:rPr>
  </w:style>
  <w:style w:type="paragraph" w:styleId="Prskatjums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879D5"/>
    <w:rPr>
      <w:b/>
      <w:bCs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0247ED"/>
    <w:pPr>
      <w:outlineLvl w:val="9"/>
    </w:pPr>
    <w:rPr>
      <w:lang w:val="en-US"/>
    </w:rPr>
  </w:style>
  <w:style w:type="paragraph" w:styleId="Saturs1">
    <w:name w:val="toc 1"/>
    <w:basedOn w:val="Parasts"/>
    <w:next w:val="Parasts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Saturs2">
    <w:name w:val="toc 2"/>
    <w:basedOn w:val="Parasts"/>
    <w:next w:val="Parasts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Saturs3">
    <w:name w:val="toc 3"/>
    <w:basedOn w:val="Parasts"/>
    <w:next w:val="Parasts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Bezatstarpm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4749" TargetMode="External"/><Relationship Id="rId13" Type="http://schemas.openxmlformats.org/officeDocument/2006/relationships/hyperlink" Target="https://eur-lex.europa.eu/legal-content/LV/TXT/?uri=celex%3A32016R0679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www.vzd.gov.lv/lv/KV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hyperlink" Target="https://www.zm.gov.lv/lv/meza-nozar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ata.stat.gov.lv/pxweb/lv/OSP_PUB/START__NOZ__ME__MEI/MEI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87576-oficialas-statistikas-veidlapu-paraugu-apstiprinasanas-un-veidlapu-aizpildisanas-un-iesniegsanas-noteikumi" TargetMode="External"/><Relationship Id="rId14" Type="http://schemas.openxmlformats.org/officeDocument/2006/relationships/hyperlink" Target="https://www.csp.gov.lv/lv/informacijas-drosiba-un-datu-aizsardzib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3637</Words>
  <Characters>2074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Ilva Graudina</cp:lastModifiedBy>
  <cp:revision>5</cp:revision>
  <cp:lastPrinted>2023-03-16T13:14:00Z</cp:lastPrinted>
  <dcterms:created xsi:type="dcterms:W3CDTF">2025-06-05T18:28:00Z</dcterms:created>
  <dcterms:modified xsi:type="dcterms:W3CDTF">2025-06-05T19:01:00Z</dcterms:modified>
</cp:coreProperties>
</file>