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373ABAED" w:rsidR="0051672D" w:rsidRPr="00883277" w:rsidRDefault="00C36075" w:rsidP="008A257A">
      <w:pPr>
        <w:spacing w:after="120" w:line="240" w:lineRule="auto"/>
        <w:ind w:left="0"/>
        <w:rPr>
          <w:sz w:val="26"/>
          <w:szCs w:val="26"/>
        </w:rPr>
      </w:pPr>
      <w:r>
        <w:rPr>
          <w:rFonts w:cs="Open Sans"/>
          <w:sz w:val="26"/>
          <w:szCs w:val="26"/>
        </w:rPr>
        <w:t>“Pārskats par finansiālo stāvokli” (1-F</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Saturardtjavirsraksts"/>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Saturs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ipersaite"/>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Saturs1"/>
            <w:rPr>
              <w:rFonts w:eastAsiaTheme="minorEastAsia"/>
              <w:noProof/>
              <w:color w:val="auto"/>
              <w:sz w:val="26"/>
              <w:szCs w:val="26"/>
              <w:u w:val="none"/>
              <w:lang w:eastAsia="lv-LV"/>
            </w:rPr>
          </w:pPr>
          <w:hyperlink w:anchor="_Toc70071548" w:history="1">
            <w:r w:rsidRPr="00C2402B">
              <w:rPr>
                <w:rStyle w:val="Hipersaite"/>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Saturs1"/>
            <w:rPr>
              <w:rFonts w:eastAsiaTheme="minorEastAsia"/>
              <w:noProof/>
              <w:color w:val="auto"/>
              <w:sz w:val="26"/>
              <w:szCs w:val="26"/>
              <w:u w:val="none"/>
              <w:lang w:eastAsia="lv-LV"/>
            </w:rPr>
          </w:pPr>
          <w:hyperlink w:anchor="_Toc70071549" w:history="1">
            <w:r w:rsidRPr="00C2402B">
              <w:rPr>
                <w:rStyle w:val="Hipersaite"/>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Saturs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ipersaite"/>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Saturs1"/>
            <w:rPr>
              <w:rFonts w:eastAsiaTheme="minorEastAsia"/>
              <w:noProof/>
              <w:color w:val="auto"/>
              <w:sz w:val="26"/>
              <w:szCs w:val="26"/>
              <w:u w:val="none"/>
              <w:lang w:eastAsia="lv-LV"/>
            </w:rPr>
          </w:pPr>
          <w:hyperlink w:anchor="_Toc70071551" w:history="1">
            <w:r w:rsidRPr="00C2402B">
              <w:rPr>
                <w:rStyle w:val="Hipersaite"/>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Saturs1"/>
            <w:rPr>
              <w:rFonts w:eastAsiaTheme="minorEastAsia"/>
              <w:noProof/>
              <w:color w:val="auto"/>
              <w:sz w:val="26"/>
              <w:szCs w:val="26"/>
              <w:u w:val="none"/>
              <w:lang w:eastAsia="lv-LV"/>
            </w:rPr>
          </w:pPr>
          <w:hyperlink w:anchor="_Toc70071552" w:history="1">
            <w:r w:rsidRPr="00C2402B">
              <w:rPr>
                <w:rStyle w:val="Hipersaite"/>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Saturs1"/>
            <w:rPr>
              <w:rFonts w:eastAsiaTheme="minorEastAsia"/>
              <w:noProof/>
              <w:color w:val="auto"/>
              <w:sz w:val="26"/>
              <w:szCs w:val="26"/>
              <w:u w:val="none"/>
              <w:lang w:eastAsia="lv-LV"/>
            </w:rPr>
          </w:pPr>
          <w:hyperlink w:anchor="_Toc70071553" w:history="1">
            <w:r w:rsidRPr="00C2402B">
              <w:rPr>
                <w:rStyle w:val="Hipersaite"/>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Saturs1"/>
            <w:rPr>
              <w:rFonts w:eastAsiaTheme="minorEastAsia"/>
              <w:noProof/>
              <w:color w:val="auto"/>
              <w:sz w:val="26"/>
              <w:szCs w:val="26"/>
              <w:u w:val="none"/>
              <w:lang w:eastAsia="lv-LV"/>
            </w:rPr>
          </w:pPr>
          <w:hyperlink w:anchor="_Toc70071554" w:history="1">
            <w:r w:rsidRPr="00C2402B">
              <w:rPr>
                <w:rStyle w:val="Hipersaite"/>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Saturs1"/>
            <w:rPr>
              <w:rFonts w:asciiTheme="minorHAnsi" w:eastAsiaTheme="minorEastAsia" w:hAnsiTheme="minorHAnsi"/>
              <w:noProof/>
              <w:color w:val="auto"/>
              <w:sz w:val="22"/>
              <w:szCs w:val="22"/>
              <w:u w:val="none"/>
              <w:lang w:eastAsia="lv-LV"/>
            </w:rPr>
          </w:pPr>
          <w:hyperlink w:anchor="_Toc70071555" w:history="1">
            <w:r w:rsidRPr="00C2402B">
              <w:rPr>
                <w:rStyle w:val="Hipersaite"/>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Saturs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Virsraksts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08B6D291" w:rsidR="009404C8" w:rsidRPr="00C36075" w:rsidRDefault="009404C8" w:rsidP="00214288">
      <w:r w:rsidRPr="009404C8">
        <w:t>Pārvalde lūdz iesniegt datus, lai nodrošināt</w:t>
      </w:r>
      <w:r w:rsidRPr="00C36075">
        <w:t xml:space="preserve">u lietotāju vajadzības, kas definētas </w:t>
      </w:r>
      <w:hyperlink r:id="rId7" w:history="1">
        <w:r w:rsidRPr="00C36075">
          <w:rPr>
            <w:rFonts w:cs="Verdana"/>
            <w:color w:val="0000FF"/>
            <w:szCs w:val="20"/>
          </w:rPr>
          <w:t>Oficiālās statistikas programmas</w:t>
        </w:r>
      </w:hyperlink>
      <w:r w:rsidRPr="00C36075">
        <w:rPr>
          <w:color w:val="0000FF"/>
        </w:rPr>
        <w:t xml:space="preserve"> </w:t>
      </w:r>
      <w:r w:rsidRPr="00C36075">
        <w:t>pielikuma 1. punktā (Nacionālo kontu sistēma).</w:t>
      </w:r>
    </w:p>
    <w:p w14:paraId="799B1319" w14:textId="77777777" w:rsidR="00C36075" w:rsidRDefault="00C36075" w:rsidP="00C36075">
      <w:pPr>
        <w:spacing w:before="0"/>
        <w:rPr>
          <w:noProof/>
        </w:rPr>
      </w:pPr>
    </w:p>
    <w:p w14:paraId="5BF8219A" w14:textId="3070FCB2" w:rsidR="00C36075" w:rsidRDefault="00C36075" w:rsidP="00C36075">
      <w:pPr>
        <w:spacing w:before="0"/>
      </w:pPr>
      <w:r>
        <w:t>Uzņēmumu dati ir galvenais datu avots informācijai par komersantu finansiālo stāvokli ceturkšņa finanšu kontu sagatavošanai atbilstoši Eiropas Centrālās bankas prasībām.</w:t>
      </w:r>
    </w:p>
    <w:p w14:paraId="592DED8E" w14:textId="4D38AF80" w:rsidR="00C36075" w:rsidRDefault="00C36075" w:rsidP="00C36075">
      <w:r>
        <w:rPr>
          <w:rFonts w:cs="Verdana"/>
          <w:color w:val="000000"/>
          <w:szCs w:val="20"/>
        </w:rPr>
        <w:t xml:space="preserve">Iegūtos datus savu funkciju veikšanai izmanto Latvijas Banka, kam </w:t>
      </w:r>
      <w:r>
        <w:t xml:space="preserve">pārskatos sniegtā informācija nepieciešama maksājumu bilances statistikas sagatavošanai saskaņā ar starptautiskajiem standartiem un Eiropas Savienības, t.sk. Eiropas Centrālās bankas, tiesību aktu prasībām, finanšu stabilitātes statistikas nodrošināšanai, tautsaimniecības dinamisko pārmaiņu analīzei un ekonomiskās prognozēšanas veicināšanai, kā arī </w:t>
      </w:r>
      <w:r>
        <w:rPr>
          <w:rFonts w:cs="Verdana"/>
          <w:color w:val="000000"/>
          <w:szCs w:val="20"/>
        </w:rPr>
        <w:t>Eiropas Savienības institūcijas, Latvijas valsts un pašvaldību institūcijas, starptautiskās organizācijas un citi datu lietotāji valsts ekonomikā notiekošo procesu analīzei.</w:t>
      </w:r>
    </w:p>
    <w:p w14:paraId="51FF4DE8" w14:textId="77777777" w:rsidR="00C36075" w:rsidRDefault="00C36075" w:rsidP="00C36075">
      <w:r>
        <w:t>Finanšu rādītāji nodrošina datus par bilances aktīva, pasīva un peļņas vai zaudējumu aprēķina svarīgākajiem posteņiem:</w:t>
      </w:r>
    </w:p>
    <w:p w14:paraId="4A5C97A5" w14:textId="30818CAD" w:rsidR="00C36075" w:rsidRDefault="00F931AF" w:rsidP="00C36075">
      <w:pPr>
        <w:pStyle w:val="Bezatstarpm"/>
        <w:numPr>
          <w:ilvl w:val="0"/>
          <w:numId w:val="37"/>
        </w:numPr>
        <w:ind w:left="2058" w:hanging="357"/>
      </w:pPr>
      <w:r>
        <w:lastRenderedPageBreak/>
        <w:t>a</w:t>
      </w:r>
      <w:r>
        <w:t xml:space="preserve">ktīvs </w:t>
      </w:r>
      <w:r w:rsidR="00274A85">
        <w:t xml:space="preserve">– </w:t>
      </w:r>
      <w:r w:rsidR="00C36075">
        <w:t>nemateriālie ieguldījumi; pamatlīdzekļi; informācija par sabiedrības kapitālu; ilgtermiņa un īstermiņa parāda vērtspapīri; ilgtermiņa un īstermiņa aizdevumi; nodokļi; krājumi un to sadalījums pa veidiem; tirdzniecības kredīti; debitori; norēķinu konti;</w:t>
      </w:r>
    </w:p>
    <w:p w14:paraId="5D327107" w14:textId="77777777" w:rsidR="00C36075" w:rsidRDefault="00C36075" w:rsidP="00C36075">
      <w:pPr>
        <w:pStyle w:val="Bezatstarpm"/>
        <w:numPr>
          <w:ilvl w:val="0"/>
          <w:numId w:val="37"/>
        </w:numPr>
        <w:ind w:left="2058" w:hanging="357"/>
      </w:pPr>
      <w:r>
        <w:t>pasīvs – pašu kapitāls un tā sadalījums; rezerves; uzkrājumi; ilgtermiņa un īstermiņa aizņēmumi un to sadalījums; emitētie ilgtermiņa un īstermiņa parāda vērtspapīri; nodokļi un valsts sociālās apdrošināšanas obligātās iemaksas; tirdzniecības kredīti; kreditori;</w:t>
      </w:r>
    </w:p>
    <w:p w14:paraId="7326FC72" w14:textId="41C96724" w:rsidR="00C36075" w:rsidRDefault="00C36075" w:rsidP="00C36075">
      <w:pPr>
        <w:pStyle w:val="Bezatstarpm"/>
        <w:numPr>
          <w:ilvl w:val="0"/>
          <w:numId w:val="37"/>
        </w:numPr>
        <w:ind w:left="2058" w:hanging="357"/>
      </w:pPr>
      <w:r>
        <w:t>peļņas vai zaudējumu aprēķins</w:t>
      </w:r>
      <w:r w:rsidR="00274A85">
        <w:t xml:space="preserve"> – </w:t>
      </w:r>
      <w:r>
        <w:t>neto apgrozījums; pārdotās produkcijas ražošanas pašizmaksa; bruto peļņa vai zaudējumi; pārdošanas, administrācijas un citu veidu izmaksas; pārējie saimnieciskās darbības ieņēmumi un izmaksas; procentu ieņēmumi un procentu maksājumi; ārkārtas dividendes; pārskata ceturkšņa peļņa vai zaudējumi.</w:t>
      </w:r>
    </w:p>
    <w:p w14:paraId="72A32E49" w14:textId="454C4FD0" w:rsidR="00381049" w:rsidRDefault="00C36075" w:rsidP="00C36075">
      <w:pPr>
        <w:rPr>
          <w:bCs/>
          <w:color w:val="000000"/>
        </w:rPr>
      </w:pPr>
      <w:r>
        <w:t xml:space="preserve">Informācija par operatīvo nomu un tās ietekmi uz bilances un peļņas zaudējumu posteņiem ļauj novērtēt izmaiņas, kas radušās ieviešot 16. Starptautisko finanšu pārskatu standartu “Noma”. Standarta ieviešanai vislielākā ietekme ir uz posteņiem: nemateriālie ieguldījumi; pamatlīdzekļi (aktīvs); </w:t>
      </w:r>
      <w:r>
        <w:rPr>
          <w:rFonts w:eastAsia="Calibri" w:cs="Calibri"/>
        </w:rPr>
        <w:t>citi iepriekš neuzskaitītie kreditori</w:t>
      </w:r>
      <w:r>
        <w:t xml:space="preserve"> (pasīvs); </w:t>
      </w:r>
      <w:r>
        <w:rPr>
          <w:rFonts w:cs="Calibri"/>
        </w:rPr>
        <w:t>nemateriālo ieguldījumu ikgadējā vērtības norakstīšana, pamatlīdzekļu un ieguldījumu īpašumu nolietojums (peļņas un zaudējumu aprēķins).</w:t>
      </w:r>
    </w:p>
    <w:p w14:paraId="41185709" w14:textId="56890C52" w:rsidR="00FB66EA" w:rsidRPr="00C13E38" w:rsidRDefault="008C258D" w:rsidP="004652B7">
      <w:pPr>
        <w:pStyle w:val="Virsraksts1"/>
        <w:numPr>
          <w:ilvl w:val="0"/>
          <w:numId w:val="26"/>
        </w:numPr>
      </w:pPr>
      <w:bookmarkStart w:id="2"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5DCFCEB5" w14:textId="4E8E704E" w:rsidR="00FB66EA" w:rsidRPr="00F33D0A" w:rsidRDefault="00F34984" w:rsidP="004652B7">
      <w:r w:rsidRPr="00C13E38">
        <w:t>Oficiālo statistiku nodrošin</w:t>
      </w:r>
      <w:r w:rsidR="007B0817">
        <w:t>a</w:t>
      </w:r>
      <w:r w:rsidRPr="00C13E38">
        <w:t xml:space="preserve">, lai izpildītu šādus </w:t>
      </w:r>
      <w:r w:rsidR="00322F85" w:rsidRPr="00C13E38">
        <w:t>tiesību aktus:</w:t>
      </w:r>
    </w:p>
    <w:p w14:paraId="54A7BCBD" w14:textId="18AFB1D9" w:rsidR="00C36075" w:rsidRPr="00183615" w:rsidRDefault="00C36075" w:rsidP="00C36075">
      <w:pPr>
        <w:pStyle w:val="Bezatstarpm"/>
        <w:rPr>
          <w:rFonts w:cs="Times New Roman"/>
        </w:rPr>
      </w:pPr>
      <w:hyperlink r:id="rId8" w:history="1">
        <w:r w:rsidRPr="00C36075">
          <w:rPr>
            <w:rStyle w:val="Hipersaite"/>
          </w:rPr>
          <w:t>Eiropas Parlamenta un Padomes 2013. gada 21. maija Regul</w:t>
        </w:r>
        <w:r w:rsidR="000E0B62">
          <w:rPr>
            <w:rStyle w:val="Hipersaite"/>
          </w:rPr>
          <w:t>u</w:t>
        </w:r>
        <w:r w:rsidRPr="00C36075">
          <w:rPr>
            <w:rStyle w:val="Hipersaite"/>
          </w:rPr>
          <w:t xml:space="preserve"> (ES) Nr.</w:t>
        </w:r>
        <w:r>
          <w:rPr>
            <w:rStyle w:val="Hipersaite"/>
          </w:rPr>
          <w:t> </w:t>
        </w:r>
        <w:r w:rsidRPr="00C36075">
          <w:rPr>
            <w:rStyle w:val="Hipersaite"/>
          </w:rPr>
          <w:t>549/2013</w:t>
        </w:r>
      </w:hyperlink>
      <w:r>
        <w:t xml:space="preserve"> par Eiropas nacionālo un reģionālo kontu sistēmu Eiropas Savienībā (Dokuments attiecas uz EEZ);</w:t>
      </w:r>
    </w:p>
    <w:p w14:paraId="274A843F" w14:textId="77777777" w:rsidR="00183615" w:rsidRDefault="00183615" w:rsidP="00183615">
      <w:pPr>
        <w:pStyle w:val="Bezatstarpm"/>
      </w:pPr>
      <w:hyperlink r:id="rId9" w:history="1">
        <w:r>
          <w:rPr>
            <w:rStyle w:val="Hipersaite"/>
            <w:rFonts w:cs="Arial"/>
            <w:szCs w:val="20"/>
          </w:rPr>
          <w:t>Eiropas Parlamenta un Padomes 2005. gada 12. janvāra Regulu (ES) Nr. 184/2005</w:t>
        </w:r>
      </w:hyperlink>
      <w:r>
        <w:t xml:space="preserve"> par Kopienas statistiku attiecībā uz maksājuma bilanci, starptautisko pakalpojumu tirdzniecību un ārvalstu tiešajiem ieguldījumiem;</w:t>
      </w:r>
    </w:p>
    <w:p w14:paraId="2ACA6DC1" w14:textId="71A41446" w:rsidR="00C36075" w:rsidRDefault="00C36075" w:rsidP="00C36075">
      <w:pPr>
        <w:pStyle w:val="Bezatstarpm"/>
        <w:rPr>
          <w:rFonts w:cs="Arial"/>
          <w:szCs w:val="20"/>
        </w:rPr>
      </w:pPr>
      <w:r>
        <w:rPr>
          <w:rFonts w:cs="Arial"/>
          <w:szCs w:val="20"/>
        </w:rPr>
        <w:t>Eiropas Centrālās bankas 2011. gada 9. decembra Pamatnostādn</w:t>
      </w:r>
      <w:r w:rsidR="00DA5B06">
        <w:rPr>
          <w:rFonts w:cs="Arial"/>
          <w:szCs w:val="20"/>
        </w:rPr>
        <w:t>i</w:t>
      </w:r>
      <w:r>
        <w:rPr>
          <w:rFonts w:cs="Arial"/>
          <w:szCs w:val="20"/>
        </w:rPr>
        <w:t xml:space="preserve"> par Eiropas Centrālās bankas prasībām attiecībā uz statistikas pārskatiem ārējās statistikas jomā (pārstrādātā versija) (</w:t>
      </w:r>
      <w:hyperlink r:id="rId10" w:history="1">
        <w:r w:rsidRPr="00C36075">
          <w:rPr>
            <w:rStyle w:val="Hipersaite"/>
            <w:rFonts w:cs="Arial"/>
            <w:szCs w:val="20"/>
          </w:rPr>
          <w:t>ECB/2011/23</w:t>
        </w:r>
      </w:hyperlink>
      <w:r>
        <w:rPr>
          <w:rFonts w:cs="Arial"/>
          <w:szCs w:val="20"/>
        </w:rPr>
        <w:t>);</w:t>
      </w:r>
    </w:p>
    <w:p w14:paraId="7A525018" w14:textId="337507FB" w:rsidR="00420AD1" w:rsidRPr="003B371D" w:rsidRDefault="00C36075" w:rsidP="00C36075">
      <w:pPr>
        <w:pStyle w:val="Bezatstarpm"/>
      </w:pPr>
      <w:r>
        <w:t xml:space="preserve">Eiropas Centrālās </w:t>
      </w:r>
      <w:r w:rsidRPr="00C36075">
        <w:t>bankas</w:t>
      </w:r>
      <w:r>
        <w:t xml:space="preserve"> 2013. gada 25. jūlija Pamatnostādn</w:t>
      </w:r>
      <w:r w:rsidR="00DA5B06">
        <w:t>i</w:t>
      </w:r>
      <w:r>
        <w:t xml:space="preserve"> par Eiropas Centrālās bankas statistikas pārskatu sniegšanas prasībām ceturkšņa finanšu pārskatu jomā (pārstrādātā versija) (</w:t>
      </w:r>
      <w:hyperlink r:id="rId11" w:history="1">
        <w:r w:rsidRPr="00C36075">
          <w:rPr>
            <w:rStyle w:val="Hipersaite"/>
          </w:rPr>
          <w:t>ECB/2013/24</w:t>
        </w:r>
      </w:hyperlink>
      <w:r>
        <w:t>).</w:t>
      </w:r>
    </w:p>
    <w:p w14:paraId="0EA759E9" w14:textId="43AFA218" w:rsidR="00E47D56" w:rsidRPr="00F37885" w:rsidRDefault="008C258D" w:rsidP="00A513C7">
      <w:pPr>
        <w:pStyle w:val="Virsraksts1"/>
        <w:numPr>
          <w:ilvl w:val="0"/>
          <w:numId w:val="29"/>
        </w:numPr>
      </w:pPr>
      <w:bookmarkStart w:id="3" w:name="_Toc70071549"/>
      <w:r>
        <w:t>Kur ir noteikts p</w:t>
      </w:r>
      <w:r w:rsidR="00E47D56" w:rsidRPr="00F37885">
        <w:t>ienākums iesniegt datus</w:t>
      </w:r>
      <w:r>
        <w:t>?</w:t>
      </w:r>
      <w:bookmarkEnd w:id="3"/>
    </w:p>
    <w:p w14:paraId="2FE3EA63" w14:textId="0496D9F0" w:rsidR="00DC7EFA" w:rsidRPr="00C13E38" w:rsidRDefault="00E47D56" w:rsidP="00A513C7">
      <w:r w:rsidRPr="00C13E38">
        <w:t>Pienākums iesniegt datus izriet no</w:t>
      </w:r>
      <w:r w:rsidR="008629E4" w:rsidRPr="00C13E38">
        <w:t xml:space="preserve"> </w:t>
      </w:r>
      <w:hyperlink r:id="rId12" w:anchor="p14" w:history="1">
        <w:r w:rsidRPr="008C1740">
          <w:rPr>
            <w:rStyle w:val="Hipersaite"/>
            <w:rFonts w:cs="Times New Roman"/>
            <w:szCs w:val="20"/>
          </w:rPr>
          <w:t>Stat</w:t>
        </w:r>
        <w:r w:rsidR="00DC7EFA" w:rsidRPr="008C1740">
          <w:rPr>
            <w:rStyle w:val="Hipersaite"/>
            <w:rFonts w:cs="Times New Roman"/>
            <w:szCs w:val="20"/>
          </w:rPr>
          <w:t>i</w:t>
        </w:r>
        <w:r w:rsidRPr="008C1740">
          <w:rPr>
            <w:rStyle w:val="Hipersaite"/>
            <w:rFonts w:cs="Times New Roman"/>
            <w:szCs w:val="20"/>
          </w:rPr>
          <w:t>s</w:t>
        </w:r>
        <w:r w:rsidR="00DC7EFA" w:rsidRPr="008C1740">
          <w:rPr>
            <w:rStyle w:val="Hipersaite"/>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Virsraksts1"/>
        <w:numPr>
          <w:ilvl w:val="0"/>
          <w:numId w:val="25"/>
        </w:numPr>
      </w:pPr>
      <w:bookmarkStart w:id="4"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4"/>
    </w:p>
    <w:p w14:paraId="584FBD34" w14:textId="5C3AA0FA" w:rsidR="00381049" w:rsidRDefault="00C36075" w:rsidP="00F914B8">
      <w:pPr>
        <w:pStyle w:val="Bezatstarpm"/>
        <w:numPr>
          <w:ilvl w:val="0"/>
          <w:numId w:val="0"/>
        </w:numPr>
        <w:ind w:left="1134"/>
      </w:pPr>
      <w:r>
        <w:t xml:space="preserve">Administratīvo datu </w:t>
      </w:r>
      <w:r>
        <w:rPr>
          <w:rFonts w:cs="Open Sans"/>
        </w:rPr>
        <w:t>nav</w:t>
      </w:r>
      <w:r>
        <w:t>.</w:t>
      </w:r>
    </w:p>
    <w:p w14:paraId="1F5F0C07" w14:textId="211764FC" w:rsidR="004E42BB" w:rsidRPr="00C13E38" w:rsidRDefault="00D44A6F" w:rsidP="004652B7">
      <w:pPr>
        <w:pStyle w:val="Virsraksts1"/>
        <w:numPr>
          <w:ilvl w:val="0"/>
          <w:numId w:val="24"/>
        </w:numPr>
      </w:pPr>
      <w:bookmarkStart w:id="5" w:name="_Toc70071551"/>
      <w:r>
        <w:t>Kam ir jāiesniedz dati?</w:t>
      </w:r>
      <w:bookmarkEnd w:id="5"/>
    </w:p>
    <w:p w14:paraId="26A1BBE2" w14:textId="77777777" w:rsidR="00752B85" w:rsidRDefault="00752B85" w:rsidP="00752B85">
      <w:r>
        <w:t>Apsekojumā iekļauj:</w:t>
      </w:r>
    </w:p>
    <w:p w14:paraId="18140585" w14:textId="53CD9C83" w:rsidR="007372AA" w:rsidRPr="00F33D0A" w:rsidRDefault="007372AA" w:rsidP="007372AA">
      <w:pPr>
        <w:pStyle w:val="Bezatstarpm"/>
      </w:pPr>
      <w:r w:rsidRPr="00752B85">
        <w:t>uzņēmumus</w:t>
      </w:r>
      <w:r>
        <w:t xml:space="preserve">, lai kopējais </w:t>
      </w:r>
      <w:r>
        <w:rPr>
          <w:rFonts w:ascii="Verdana Pro" w:hAnsi="Verdana Pro" w:cs="Open Sans"/>
          <w:color w:val="000000"/>
        </w:rPr>
        <w:t xml:space="preserve">neto apgrozījums un bilances kopsumma </w:t>
      </w:r>
      <w:r>
        <w:t xml:space="preserve">veidotu  65 % un vairāk no nozares apgrozījuma </w:t>
      </w:r>
      <w:r>
        <w:rPr>
          <w:rFonts w:ascii="Verdana Pro" w:hAnsi="Verdana Pro" w:cs="Open Sans"/>
          <w:color w:val="000000"/>
        </w:rPr>
        <w:t xml:space="preserve">un bilances vērtības </w:t>
      </w:r>
      <w:r>
        <w:t>atbilstoši katrai Saimniecisko darbību statistiskas klasifikācijas NACE sa</w:t>
      </w:r>
      <w:r>
        <w:t>daļai</w:t>
      </w:r>
      <w:r w:rsidR="00D81836">
        <w:t>;</w:t>
      </w:r>
    </w:p>
    <w:p w14:paraId="264817CF" w14:textId="7BF60172" w:rsidR="00752B85" w:rsidRPr="00752B85" w:rsidRDefault="00752B85" w:rsidP="00752B85">
      <w:pPr>
        <w:pStyle w:val="Bezatstarpm"/>
      </w:pPr>
      <w:r w:rsidRPr="00752B85">
        <w:t>ostu pārvaldes</w:t>
      </w:r>
      <w:r w:rsidR="00D81836">
        <w:t>.</w:t>
      </w:r>
    </w:p>
    <w:p w14:paraId="00F08D10" w14:textId="77777777" w:rsidR="0060172A" w:rsidRDefault="00F33D0A" w:rsidP="004652B7">
      <w:r w:rsidRPr="009E389F">
        <w:t xml:space="preserve">Izlases izveidošanas </w:t>
      </w:r>
      <w:r>
        <w:t>standarts</w:t>
      </w:r>
      <w:r w:rsidRPr="009E389F">
        <w:t>:</w:t>
      </w:r>
    </w:p>
    <w:p w14:paraId="60F4269A" w14:textId="79D2C858" w:rsidR="00F33D0A" w:rsidRDefault="004301D3" w:rsidP="0060172A">
      <w:pPr>
        <w:pStyle w:val="Bezatstarpm"/>
        <w:rPr>
          <w:rFonts w:eastAsia="Times New Roman"/>
        </w:rPr>
      </w:pPr>
      <w:hyperlink r:id="rId13" w:history="1">
        <w:r w:rsidRPr="0060172A">
          <w:rPr>
            <w:rStyle w:val="Hipersaite"/>
          </w:rPr>
          <w:t>Eiropas Parlamenta un Padomes 2013. gada 21. maija Regulas (ES) Nr.</w:t>
        </w:r>
        <w:r w:rsidR="00A54DA2">
          <w:rPr>
            <w:rStyle w:val="Hipersaite"/>
          </w:rPr>
          <w:t> </w:t>
        </w:r>
        <w:r w:rsidRPr="0060172A">
          <w:rPr>
            <w:rStyle w:val="Hipersaite"/>
          </w:rPr>
          <w:t>549/2013</w:t>
        </w:r>
      </w:hyperlink>
      <w:r w:rsidRPr="005261B5">
        <w:t xml:space="preserve"> par </w:t>
      </w:r>
      <w:r w:rsidRPr="005261B5">
        <w:rPr>
          <w:rFonts w:eastAsia="Times New Roman"/>
        </w:rPr>
        <w:t xml:space="preserve">Eiropas nacionālo un reģionālo kontu sistēmu Eiropas Savienībā </w:t>
      </w:r>
      <w:r w:rsidR="00B973E6">
        <w:rPr>
          <w:rFonts w:eastAsia="Times New Roman"/>
        </w:rPr>
        <w:t>2</w:t>
      </w:r>
      <w:r>
        <w:rPr>
          <w:rFonts w:eastAsia="Times New Roman"/>
        </w:rPr>
        <w:t xml:space="preserve">. pants, kā arī </w:t>
      </w:r>
      <w:r w:rsidR="00050B0C" w:rsidRPr="005261B5">
        <w:rPr>
          <w:rFonts w:eastAsia="Times New Roman"/>
        </w:rPr>
        <w:t xml:space="preserve">A </w:t>
      </w:r>
      <w:r w:rsidR="00050B0C">
        <w:rPr>
          <w:rFonts w:eastAsia="Times New Roman"/>
        </w:rPr>
        <w:t xml:space="preserve">un B </w:t>
      </w:r>
      <w:r w:rsidR="00050B0C" w:rsidRPr="005261B5">
        <w:rPr>
          <w:rFonts w:eastAsia="Times New Roman"/>
        </w:rPr>
        <w:t>pielikum</w:t>
      </w:r>
      <w:r w:rsidR="00050B0C">
        <w:rPr>
          <w:rFonts w:eastAsia="Times New Roman"/>
        </w:rPr>
        <w:t>i</w:t>
      </w:r>
      <w:r w:rsidR="0060172A">
        <w:rPr>
          <w:rFonts w:eastAsia="Times New Roman"/>
        </w:rPr>
        <w:t>;</w:t>
      </w:r>
    </w:p>
    <w:bookmarkStart w:id="6" w:name="_Hlk74160520"/>
    <w:p w14:paraId="7BDE1298" w14:textId="77777777" w:rsidR="0060172A" w:rsidRDefault="0060172A" w:rsidP="0060172A">
      <w:pPr>
        <w:pStyle w:val="Bezatstarpm"/>
      </w:pPr>
      <w:r>
        <w:fldChar w:fldCharType="begin"/>
      </w:r>
      <w:r>
        <w:instrText xml:space="preserve"> HYPERLINK "https://likumi.lv/ta/id/287576-oficialas-statistikas-veidlapu-paraugu-apstiprinasanas-un-veidlapu-aizpildisanas-un-iesniegsanas-noteikumi" </w:instrText>
      </w:r>
      <w:r>
        <w:fldChar w:fldCharType="separate"/>
      </w:r>
      <w:r w:rsidRPr="00A611D9">
        <w:rPr>
          <w:rStyle w:val="Hipersaite"/>
        </w:rPr>
        <w:t>Ministru kabineta 2016. gada 20. decembra noteikumi Nr. 812</w:t>
      </w:r>
      <w:r>
        <w:rPr>
          <w:rStyle w:val="Hipersaite"/>
        </w:rPr>
        <w:fldChar w:fldCharType="end"/>
      </w:r>
      <w:r w:rsidRPr="00A611D9">
        <w:t xml:space="preserve"> ”Oficiālās statistikas veidlapu paraugu apstiprināšanas un veidlapu aizpildīšanas un iesniegšanas noteikumi”.</w:t>
      </w:r>
      <w:bookmarkEnd w:id="6"/>
    </w:p>
    <w:p w14:paraId="74D77E06" w14:textId="2F3F2C6E" w:rsidR="009B665C" w:rsidRPr="00C13E38" w:rsidRDefault="00D44A6F" w:rsidP="004652B7">
      <w:pPr>
        <w:pStyle w:val="Virsraksts1"/>
        <w:numPr>
          <w:ilvl w:val="0"/>
          <w:numId w:val="21"/>
        </w:numPr>
      </w:pPr>
      <w:bookmarkStart w:id="7" w:name="_Toc70071552"/>
      <w:r>
        <w:t>Kur publicē o</w:t>
      </w:r>
      <w:r w:rsidR="004E42BB" w:rsidRPr="00C13E38">
        <w:t>ficiāl</w:t>
      </w:r>
      <w:r>
        <w:t>o</w:t>
      </w:r>
      <w:r w:rsidR="004E42BB" w:rsidRPr="00C13E38">
        <w:t xml:space="preserve"> statisti</w:t>
      </w:r>
      <w:r>
        <w:t>ku?</w:t>
      </w:r>
      <w:bookmarkEnd w:id="7"/>
    </w:p>
    <w:p w14:paraId="4C9D9D40" w14:textId="77777777" w:rsidR="00752B85" w:rsidRPr="00752B85" w:rsidRDefault="00752B85" w:rsidP="00752B85">
      <w:pPr>
        <w:pStyle w:val="Bezatstarpm"/>
      </w:pPr>
      <w:bookmarkStart w:id="8" w:name="_Toc40698654"/>
      <w:r w:rsidRPr="00752B85">
        <w:t>Oficiālās statistikas portālā:</w:t>
      </w:r>
    </w:p>
    <w:p w14:paraId="55A6857A" w14:textId="0D5FDB94" w:rsidR="00752B85" w:rsidRPr="00752B85" w:rsidRDefault="00752B85" w:rsidP="00752B85">
      <w:pPr>
        <w:pStyle w:val="Bezatstarpm"/>
        <w:numPr>
          <w:ilvl w:val="1"/>
          <w:numId w:val="42"/>
        </w:numPr>
        <w:rPr>
          <w:rFonts w:cs="Times New Roman"/>
          <w:color w:val="000000" w:themeColor="text1"/>
          <w:szCs w:val="20"/>
          <w:u w:val="single"/>
        </w:rPr>
      </w:pPr>
      <w:hyperlink r:id="rId14" w:history="1">
        <w:proofErr w:type="spellStart"/>
        <w:r w:rsidRPr="00752B85">
          <w:rPr>
            <w:rStyle w:val="Hipersaite"/>
            <w:rFonts w:cs="Times New Roman"/>
            <w:szCs w:val="20"/>
          </w:rPr>
          <w:t>Nefinanšu</w:t>
        </w:r>
        <w:proofErr w:type="spellEnd"/>
        <w:r w:rsidRPr="00752B85">
          <w:rPr>
            <w:rStyle w:val="Hipersaite"/>
            <w:rFonts w:cs="Times New Roman"/>
            <w:szCs w:val="20"/>
          </w:rPr>
          <w:t xml:space="preserve"> komersantu finansiālie rādītāji perioda beigās</w:t>
        </w:r>
      </w:hyperlink>
    </w:p>
    <w:p w14:paraId="705B825E" w14:textId="4CF4B064" w:rsidR="00752B85" w:rsidRPr="00752B85" w:rsidRDefault="00752B85" w:rsidP="00752B85">
      <w:pPr>
        <w:pStyle w:val="Bezatstarpm"/>
        <w:numPr>
          <w:ilvl w:val="1"/>
          <w:numId w:val="42"/>
        </w:numPr>
        <w:rPr>
          <w:rFonts w:cs="Times New Roman"/>
          <w:color w:val="000000" w:themeColor="text1"/>
          <w:szCs w:val="20"/>
          <w:u w:val="single"/>
        </w:rPr>
      </w:pPr>
      <w:hyperlink r:id="rId15" w:history="1">
        <w:proofErr w:type="spellStart"/>
        <w:r w:rsidRPr="00752B85">
          <w:rPr>
            <w:rStyle w:val="Hipersaite"/>
            <w:rFonts w:cs="Times New Roman"/>
            <w:szCs w:val="20"/>
          </w:rPr>
          <w:t>Nefinanšu</w:t>
        </w:r>
        <w:proofErr w:type="spellEnd"/>
        <w:r w:rsidRPr="00752B85">
          <w:rPr>
            <w:rStyle w:val="Hipersaite"/>
            <w:rFonts w:cs="Times New Roman"/>
            <w:szCs w:val="20"/>
          </w:rPr>
          <w:t xml:space="preserve"> komersantu peļņa vai zaudējumi</w:t>
        </w:r>
      </w:hyperlink>
    </w:p>
    <w:p w14:paraId="01A54351" w14:textId="7655E48F" w:rsidR="00752B85" w:rsidRPr="00752B85" w:rsidRDefault="00752B85" w:rsidP="00752B85">
      <w:pPr>
        <w:pStyle w:val="Bezatstarpm"/>
        <w:numPr>
          <w:ilvl w:val="1"/>
          <w:numId w:val="42"/>
        </w:numPr>
        <w:rPr>
          <w:rFonts w:cs="Times New Roman"/>
          <w:color w:val="000000" w:themeColor="text1"/>
          <w:szCs w:val="20"/>
          <w:u w:val="single"/>
        </w:rPr>
      </w:pPr>
      <w:hyperlink r:id="rId16" w:history="1">
        <w:proofErr w:type="spellStart"/>
        <w:r w:rsidRPr="00752B85">
          <w:rPr>
            <w:rStyle w:val="Hipersaite"/>
            <w:rFonts w:cs="Times New Roman"/>
            <w:szCs w:val="20"/>
          </w:rPr>
          <w:t>Nefinanšu</w:t>
        </w:r>
        <w:proofErr w:type="spellEnd"/>
        <w:r w:rsidRPr="00752B85">
          <w:rPr>
            <w:rStyle w:val="Hipersaite"/>
            <w:rFonts w:cs="Times New Roman"/>
            <w:szCs w:val="20"/>
          </w:rPr>
          <w:t xml:space="preserve"> komersantu peļņa vai zaudējumi pēc nodokļiem un neto apgrozījums pa darbības veidiem</w:t>
        </w:r>
      </w:hyperlink>
    </w:p>
    <w:p w14:paraId="438F1029" w14:textId="01A4043B" w:rsidR="00381049" w:rsidRPr="00752B85" w:rsidRDefault="00752B85" w:rsidP="00752B85">
      <w:pPr>
        <w:pStyle w:val="Bezatstarpm"/>
        <w:numPr>
          <w:ilvl w:val="1"/>
          <w:numId w:val="42"/>
        </w:numPr>
        <w:rPr>
          <w:rStyle w:val="Hipersaite"/>
          <w:color w:val="auto"/>
          <w:szCs w:val="20"/>
        </w:rPr>
      </w:pPr>
      <w:hyperlink r:id="rId17" w:history="1">
        <w:proofErr w:type="spellStart"/>
        <w:r w:rsidRPr="00752B85">
          <w:rPr>
            <w:rStyle w:val="Hipersaite"/>
            <w:szCs w:val="20"/>
          </w:rPr>
          <w:t>Nefinanšu</w:t>
        </w:r>
        <w:proofErr w:type="spellEnd"/>
        <w:r w:rsidRPr="00752B85">
          <w:rPr>
            <w:rStyle w:val="Hipersaite"/>
            <w:szCs w:val="20"/>
          </w:rPr>
          <w:t xml:space="preserve"> komersantu finansiālie rādītāji pa darbības veidiem perioda beigās</w:t>
        </w:r>
      </w:hyperlink>
    </w:p>
    <w:p w14:paraId="46C4D164" w14:textId="1A9BB05C" w:rsidR="005472C0" w:rsidRPr="00C13E38" w:rsidRDefault="004D4ABE" w:rsidP="004652B7">
      <w:pPr>
        <w:pStyle w:val="Virsraksts1"/>
        <w:numPr>
          <w:ilvl w:val="0"/>
          <w:numId w:val="22"/>
        </w:numPr>
      </w:pPr>
      <w:bookmarkStart w:id="9"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8"/>
      <w:r>
        <w:t>?</w:t>
      </w:r>
      <w:bookmarkEnd w:id="9"/>
    </w:p>
    <w:p w14:paraId="21860DFA" w14:textId="1979719E" w:rsidR="00752B85" w:rsidRPr="00752B85" w:rsidRDefault="00752B85" w:rsidP="000E0B62">
      <w:pPr>
        <w:pStyle w:val="Bezatstarpm"/>
        <w:rPr>
          <w:b/>
          <w:bCs/>
        </w:rPr>
      </w:pPr>
      <w:hyperlink r:id="rId18" w:history="1">
        <w:r w:rsidRPr="00752B85">
          <w:rPr>
            <w:rStyle w:val="Hipersaite"/>
            <w:bCs/>
          </w:rPr>
          <w:t>Ekonomikas ministrija</w:t>
        </w:r>
      </w:hyperlink>
    </w:p>
    <w:p w14:paraId="2ED2F2F5" w14:textId="6BE56232" w:rsidR="00752B85" w:rsidRPr="00CD7D20" w:rsidRDefault="00752B85" w:rsidP="000E0B62">
      <w:pPr>
        <w:pStyle w:val="Bezatstarpm"/>
        <w:rPr>
          <w:rStyle w:val="Hipersaite"/>
          <w:b/>
          <w:bCs/>
          <w:color w:val="auto"/>
        </w:rPr>
      </w:pPr>
      <w:hyperlink r:id="rId19" w:history="1">
        <w:r w:rsidRPr="00752B85">
          <w:rPr>
            <w:rStyle w:val="Hipersaite"/>
            <w:bCs/>
          </w:rPr>
          <w:t>Latvijas Banka</w:t>
        </w:r>
      </w:hyperlink>
    </w:p>
    <w:p w14:paraId="20D0646F" w14:textId="3A40A12E" w:rsidR="00DC28DE" w:rsidRPr="00CD7D20" w:rsidRDefault="00DC28DE" w:rsidP="000E0B62">
      <w:pPr>
        <w:pStyle w:val="Bezatstarpm"/>
      </w:pPr>
      <w:hyperlink r:id="rId20" w:history="1">
        <w:r w:rsidRPr="00CD7D20">
          <w:rPr>
            <w:rStyle w:val="Hipersaite"/>
          </w:rPr>
          <w:t>Valsts ieņēmumu dienests</w:t>
        </w:r>
      </w:hyperlink>
    </w:p>
    <w:p w14:paraId="1AD0869D" w14:textId="5BE5083B" w:rsidR="00752B85" w:rsidRPr="00752B85" w:rsidRDefault="00752B85" w:rsidP="000E0B62">
      <w:pPr>
        <w:pStyle w:val="Bezatstarpm"/>
        <w:rPr>
          <w:b/>
          <w:bCs/>
        </w:rPr>
      </w:pPr>
      <w:r w:rsidRPr="00752B85">
        <w:rPr>
          <w:bCs/>
        </w:rPr>
        <w:t>Eiropas Centrālā banka (</w:t>
      </w:r>
      <w:hyperlink r:id="rId21" w:history="1">
        <w:r w:rsidRPr="00752B85">
          <w:rPr>
            <w:rStyle w:val="Hipersaite"/>
            <w:bCs/>
          </w:rPr>
          <w:t>ECB</w:t>
        </w:r>
      </w:hyperlink>
      <w:r w:rsidRPr="00752B85">
        <w:rPr>
          <w:bCs/>
        </w:rPr>
        <w:t>)</w:t>
      </w:r>
    </w:p>
    <w:p w14:paraId="3CB4F6A1" w14:textId="48F25D6C" w:rsidR="00381049" w:rsidRPr="00752B85" w:rsidRDefault="00752B85" w:rsidP="000E0B62">
      <w:pPr>
        <w:pStyle w:val="Bezatstarpm"/>
        <w:rPr>
          <w:rFonts w:cs="Times New Roman"/>
          <w:sz w:val="18"/>
          <w:szCs w:val="18"/>
          <w:u w:val="single"/>
        </w:rPr>
      </w:pPr>
      <w:r w:rsidRPr="00752B85">
        <w:rPr>
          <w:bCs/>
        </w:rPr>
        <w:t>Starptautiskais Valūtas fonds (</w:t>
      </w:r>
      <w:hyperlink r:id="rId22" w:history="1">
        <w:r w:rsidRPr="00752B85">
          <w:rPr>
            <w:rStyle w:val="Hipersaite"/>
            <w:bCs/>
          </w:rPr>
          <w:t>IMF</w:t>
        </w:r>
      </w:hyperlink>
      <w:r w:rsidRPr="00752B85">
        <w:rPr>
          <w:bCs/>
        </w:rPr>
        <w:t>)</w:t>
      </w:r>
    </w:p>
    <w:p w14:paraId="78598D9A" w14:textId="574F8115" w:rsidR="00CB2A49" w:rsidRPr="00C13E38" w:rsidRDefault="004D4ABE" w:rsidP="00A513C7">
      <w:pPr>
        <w:pStyle w:val="Virsraksts1"/>
        <w:numPr>
          <w:ilvl w:val="0"/>
          <w:numId w:val="30"/>
        </w:numPr>
      </w:pPr>
      <w:bookmarkStart w:id="10" w:name="_Toc70071554"/>
      <w:r>
        <w:t>Vai Pārvalde ievēro d</w:t>
      </w:r>
      <w:r w:rsidR="00CB2A49" w:rsidRPr="00C13E38">
        <w:t>atu konfidencialitāt</w:t>
      </w:r>
      <w:r>
        <w:t>i?</w:t>
      </w:r>
      <w:bookmarkEnd w:id="10"/>
    </w:p>
    <w:p w14:paraId="198A0E48" w14:textId="1B6097FD" w:rsidR="00326423" w:rsidRPr="00C13E38" w:rsidRDefault="00BC271B" w:rsidP="003B371D">
      <w:pPr>
        <w:pStyle w:val="Sarakstarindkopa"/>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Virsraksts1"/>
        <w:numPr>
          <w:ilvl w:val="0"/>
          <w:numId w:val="20"/>
        </w:numPr>
      </w:pPr>
      <w:bookmarkStart w:id="11" w:name="_Toc70071555"/>
      <w:r>
        <w:t xml:space="preserve">Vai Pārvalde ievēro </w:t>
      </w:r>
      <w:r w:rsidR="00CB2A49" w:rsidRPr="008A257A">
        <w:t>Vispārēj</w:t>
      </w:r>
      <w:r>
        <w:t>o</w:t>
      </w:r>
      <w:r w:rsidR="00CB2A49" w:rsidRPr="00C13E38">
        <w:t xml:space="preserve"> datu aizsardzības regul</w:t>
      </w:r>
      <w:r>
        <w:t>u?</w:t>
      </w:r>
      <w:bookmarkEnd w:id="11"/>
    </w:p>
    <w:p w14:paraId="02F83123" w14:textId="2BD9BFE9"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p>
    <w:p w14:paraId="4BF34D59" w14:textId="34DF934D"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3" w:history="1">
        <w:r w:rsidR="00953091" w:rsidRPr="00CF6881">
          <w:rPr>
            <w:rStyle w:val="Hipersaite"/>
            <w:rFonts w:cs="Times New Roman"/>
            <w:szCs w:val="20"/>
          </w:rPr>
          <w:t>Eiropas Parlamenta un Padomes 2016. gada 27. aprīļa Regulas (ES) 2016/679</w:t>
        </w:r>
      </w:hyperlink>
      <w:r w:rsidR="00953091" w:rsidRPr="00CF6881">
        <w:rPr>
          <w:rFonts w:cs="Times New Roman"/>
          <w:szCs w:val="20"/>
        </w:rPr>
        <w:t xml:space="preserve"> par fizisku personu aizsardzību attiecībā uz personas datu apstrādi un šādu datu brīvu apriti un ar ko atceļ Direktīvu 95/46/EK</w:t>
      </w:r>
      <w:r w:rsidR="00953091" w:rsidRPr="00CF6881">
        <w:rPr>
          <w:rFonts w:cs="Times New Roman"/>
          <w:sz w:val="24"/>
          <w:szCs w:val="24"/>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30323857" w:rsidR="003931BD" w:rsidRPr="00C2402B" w:rsidRDefault="00E015E5" w:rsidP="00A513C7">
      <w:pPr>
        <w:rPr>
          <w:rFonts w:cs="Times New Roman"/>
          <w:szCs w:val="20"/>
        </w:rPr>
      </w:pPr>
      <w:r w:rsidRPr="004B407B">
        <w:rPr>
          <w:rFonts w:cs="Times New Roman"/>
          <w:szCs w:val="20"/>
        </w:rPr>
        <w:t>Vairāk par informācijas drošību un datu aizsardzību var atrast Pārvaldes mājaslapā:</w:t>
      </w:r>
      <w:hyperlink r:id="rId24" w:history="1">
        <w:r w:rsidR="00266B52" w:rsidRPr="00F21D6D">
          <w:rPr>
            <w:rStyle w:val="Hipersaite"/>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2.05pt;height:1in"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0050BA"/>
    <w:multiLevelType w:val="hybridMultilevel"/>
    <w:tmpl w:val="75AA7CA6"/>
    <w:lvl w:ilvl="0" w:tplc="E4981C88">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3"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2"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3"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4" w15:restartNumberingAfterBreak="0">
    <w:nsid w:val="29E60C49"/>
    <w:multiLevelType w:val="hybridMultilevel"/>
    <w:tmpl w:val="008E83FA"/>
    <w:lvl w:ilvl="0" w:tplc="315E39D0">
      <w:numFmt w:val="bullet"/>
      <w:pStyle w:val="Bezatstarpm"/>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5"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9"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46847888"/>
    <w:multiLevelType w:val="hybridMultilevel"/>
    <w:tmpl w:val="9E22FA0C"/>
    <w:lvl w:ilvl="0" w:tplc="E58E2534">
      <w:numFmt w:val="bullet"/>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D51730C"/>
    <w:multiLevelType w:val="hybridMultilevel"/>
    <w:tmpl w:val="DBB407C0"/>
    <w:lvl w:ilvl="0" w:tplc="2502379A">
      <w:numFmt w:val="bullet"/>
      <w:pStyle w:val="Mansstils"/>
      <w:lvlText w:val=""/>
      <w:lvlJc w:val="left"/>
      <w:pPr>
        <w:ind w:left="2358"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3078" w:hanging="360"/>
      </w:pPr>
      <w:rPr>
        <w:rFonts w:ascii="Courier New" w:hAnsi="Courier New" w:cs="Courier New" w:hint="default"/>
      </w:rPr>
    </w:lvl>
    <w:lvl w:ilvl="2" w:tplc="04260005" w:tentative="1">
      <w:start w:val="1"/>
      <w:numFmt w:val="bullet"/>
      <w:lvlText w:val=""/>
      <w:lvlJc w:val="left"/>
      <w:pPr>
        <w:ind w:left="3798" w:hanging="360"/>
      </w:pPr>
      <w:rPr>
        <w:rFonts w:ascii="Wingdings" w:hAnsi="Wingdings" w:hint="default"/>
      </w:rPr>
    </w:lvl>
    <w:lvl w:ilvl="3" w:tplc="04260001" w:tentative="1">
      <w:start w:val="1"/>
      <w:numFmt w:val="bullet"/>
      <w:lvlText w:val=""/>
      <w:lvlJc w:val="left"/>
      <w:pPr>
        <w:ind w:left="4518" w:hanging="360"/>
      </w:pPr>
      <w:rPr>
        <w:rFonts w:ascii="Symbol" w:hAnsi="Symbol" w:hint="default"/>
      </w:rPr>
    </w:lvl>
    <w:lvl w:ilvl="4" w:tplc="04260003" w:tentative="1">
      <w:start w:val="1"/>
      <w:numFmt w:val="bullet"/>
      <w:lvlText w:val="o"/>
      <w:lvlJc w:val="left"/>
      <w:pPr>
        <w:ind w:left="5238" w:hanging="360"/>
      </w:pPr>
      <w:rPr>
        <w:rFonts w:ascii="Courier New" w:hAnsi="Courier New" w:cs="Courier New" w:hint="default"/>
      </w:rPr>
    </w:lvl>
    <w:lvl w:ilvl="5" w:tplc="04260005" w:tentative="1">
      <w:start w:val="1"/>
      <w:numFmt w:val="bullet"/>
      <w:lvlText w:val=""/>
      <w:lvlJc w:val="left"/>
      <w:pPr>
        <w:ind w:left="5958" w:hanging="360"/>
      </w:pPr>
      <w:rPr>
        <w:rFonts w:ascii="Wingdings" w:hAnsi="Wingdings" w:hint="default"/>
      </w:rPr>
    </w:lvl>
    <w:lvl w:ilvl="6" w:tplc="04260001" w:tentative="1">
      <w:start w:val="1"/>
      <w:numFmt w:val="bullet"/>
      <w:lvlText w:val=""/>
      <w:lvlJc w:val="left"/>
      <w:pPr>
        <w:ind w:left="6678" w:hanging="360"/>
      </w:pPr>
      <w:rPr>
        <w:rFonts w:ascii="Symbol" w:hAnsi="Symbol" w:hint="default"/>
      </w:rPr>
    </w:lvl>
    <w:lvl w:ilvl="7" w:tplc="04260003" w:tentative="1">
      <w:start w:val="1"/>
      <w:numFmt w:val="bullet"/>
      <w:lvlText w:val="o"/>
      <w:lvlJc w:val="left"/>
      <w:pPr>
        <w:ind w:left="7398" w:hanging="360"/>
      </w:pPr>
      <w:rPr>
        <w:rFonts w:ascii="Courier New" w:hAnsi="Courier New" w:cs="Courier New" w:hint="default"/>
      </w:rPr>
    </w:lvl>
    <w:lvl w:ilvl="8" w:tplc="04260005" w:tentative="1">
      <w:start w:val="1"/>
      <w:numFmt w:val="bullet"/>
      <w:lvlText w:val=""/>
      <w:lvlJc w:val="left"/>
      <w:pPr>
        <w:ind w:left="8118" w:hanging="360"/>
      </w:pPr>
      <w:rPr>
        <w:rFonts w:ascii="Wingdings" w:hAnsi="Wingdings" w:hint="default"/>
      </w:rPr>
    </w:lvl>
  </w:abstractNum>
  <w:abstractNum w:abstractNumId="22"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3"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4"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D1820CB"/>
    <w:multiLevelType w:val="hybridMultilevel"/>
    <w:tmpl w:val="A538D924"/>
    <w:lvl w:ilvl="0" w:tplc="BB76506C">
      <w:numFmt w:val="bullet"/>
      <w:lvlText w:val=""/>
      <w:lvlJc w:val="left"/>
      <w:pPr>
        <w:ind w:left="1854" w:hanging="360"/>
      </w:pPr>
      <w:rPr>
        <w:rFonts w:ascii="Wingdings" w:hAnsi="Wingdings" w:cs="Times New Roman" w:hint="default"/>
        <w:color w:val="A5A5A5" w:themeColor="accent3"/>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6" w15:restartNumberingAfterBreak="0">
    <w:nsid w:val="69D443FB"/>
    <w:multiLevelType w:val="hybridMultilevel"/>
    <w:tmpl w:val="5F48DB6A"/>
    <w:lvl w:ilvl="0" w:tplc="315E39D0">
      <w:numFmt w:val="bullet"/>
      <w:lvlText w:val=""/>
      <w:lvlJc w:val="left"/>
      <w:pPr>
        <w:ind w:left="1854" w:hanging="360"/>
      </w:pPr>
      <w:rPr>
        <w:rFonts w:ascii="Wingdings" w:eastAsiaTheme="minorHAnsi" w:hAnsi="Wingdings" w:cs="Times New Roman" w:hint="default"/>
        <w:color w:val="009999"/>
      </w:rPr>
    </w:lvl>
    <w:lvl w:ilvl="1" w:tplc="315E39D0">
      <w:numFmt w:val="bullet"/>
      <w:lvlText w:val=""/>
      <w:lvlJc w:val="left"/>
      <w:pPr>
        <w:ind w:left="2574" w:hanging="360"/>
      </w:pPr>
      <w:rPr>
        <w:rFonts w:ascii="Wingdings" w:eastAsiaTheme="minorHAnsi" w:hAnsi="Wingdings" w:cs="Times New Roman" w:hint="default"/>
        <w:color w:val="009999"/>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7"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8"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22003BF"/>
    <w:multiLevelType w:val="hybridMultilevel"/>
    <w:tmpl w:val="EE3AD140"/>
    <w:lvl w:ilvl="0" w:tplc="356E06B4">
      <w:numFmt w:val="bullet"/>
      <w:pStyle w:val="Saturs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1" w15:restartNumberingAfterBreak="0">
    <w:nsid w:val="78FB0A13"/>
    <w:multiLevelType w:val="hybridMultilevel"/>
    <w:tmpl w:val="5DD40B44"/>
    <w:lvl w:ilvl="0" w:tplc="2CCE2B1A">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32"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3"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252353533">
    <w:abstractNumId w:val="16"/>
  </w:num>
  <w:num w:numId="2" w16cid:durableId="2001273992">
    <w:abstractNumId w:val="30"/>
  </w:num>
  <w:num w:numId="3" w16cid:durableId="1917670672">
    <w:abstractNumId w:val="20"/>
  </w:num>
  <w:num w:numId="4" w16cid:durableId="841286067">
    <w:abstractNumId w:val="21"/>
  </w:num>
  <w:num w:numId="5" w16cid:durableId="271788624">
    <w:abstractNumId w:val="32"/>
  </w:num>
  <w:num w:numId="6" w16cid:durableId="1388915735">
    <w:abstractNumId w:val="29"/>
  </w:num>
  <w:num w:numId="7" w16cid:durableId="1764839351">
    <w:abstractNumId w:val="16"/>
  </w:num>
  <w:num w:numId="8" w16cid:durableId="2100254466">
    <w:abstractNumId w:val="16"/>
  </w:num>
  <w:num w:numId="9" w16cid:durableId="1391685252">
    <w:abstractNumId w:val="16"/>
  </w:num>
  <w:num w:numId="10" w16cid:durableId="2000696397">
    <w:abstractNumId w:val="16"/>
  </w:num>
  <w:num w:numId="11" w16cid:durableId="599987916">
    <w:abstractNumId w:val="0"/>
  </w:num>
  <w:num w:numId="12" w16cid:durableId="1753818762">
    <w:abstractNumId w:val="20"/>
  </w:num>
  <w:num w:numId="13" w16cid:durableId="87238094">
    <w:abstractNumId w:val="10"/>
  </w:num>
  <w:num w:numId="14" w16cid:durableId="560553909">
    <w:abstractNumId w:val="5"/>
  </w:num>
  <w:num w:numId="15" w16cid:durableId="1380516654">
    <w:abstractNumId w:val="18"/>
  </w:num>
  <w:num w:numId="16" w16cid:durableId="1752387457">
    <w:abstractNumId w:val="3"/>
  </w:num>
  <w:num w:numId="17" w16cid:durableId="72896496">
    <w:abstractNumId w:val="21"/>
  </w:num>
  <w:num w:numId="18" w16cid:durableId="1380205708">
    <w:abstractNumId w:val="21"/>
  </w:num>
  <w:num w:numId="19" w16cid:durableId="636960310">
    <w:abstractNumId w:val="8"/>
  </w:num>
  <w:num w:numId="20" w16cid:durableId="543643200">
    <w:abstractNumId w:val="33"/>
  </w:num>
  <w:num w:numId="21" w16cid:durableId="737170789">
    <w:abstractNumId w:val="9"/>
  </w:num>
  <w:num w:numId="22" w16cid:durableId="469516693">
    <w:abstractNumId w:val="22"/>
  </w:num>
  <w:num w:numId="23" w16cid:durableId="984624085">
    <w:abstractNumId w:val="4"/>
  </w:num>
  <w:num w:numId="24" w16cid:durableId="465780921">
    <w:abstractNumId w:val="7"/>
  </w:num>
  <w:num w:numId="25" w16cid:durableId="1323892917">
    <w:abstractNumId w:val="1"/>
  </w:num>
  <w:num w:numId="26" w16cid:durableId="338853498">
    <w:abstractNumId w:val="27"/>
  </w:num>
  <w:num w:numId="27" w16cid:durableId="1789005053">
    <w:abstractNumId w:val="17"/>
  </w:num>
  <w:num w:numId="28" w16cid:durableId="1940866823">
    <w:abstractNumId w:val="6"/>
  </w:num>
  <w:num w:numId="29" w16cid:durableId="243539282">
    <w:abstractNumId w:val="15"/>
  </w:num>
  <w:num w:numId="30" w16cid:durableId="634726613">
    <w:abstractNumId w:val="23"/>
  </w:num>
  <w:num w:numId="31" w16cid:durableId="43875241">
    <w:abstractNumId w:val="24"/>
  </w:num>
  <w:num w:numId="32" w16cid:durableId="1695225043">
    <w:abstractNumId w:val="13"/>
  </w:num>
  <w:num w:numId="33" w16cid:durableId="1891375398">
    <w:abstractNumId w:val="28"/>
  </w:num>
  <w:num w:numId="34" w16cid:durableId="856772078">
    <w:abstractNumId w:val="19"/>
  </w:num>
  <w:num w:numId="35" w16cid:durableId="1427726796">
    <w:abstractNumId w:val="11"/>
  </w:num>
  <w:num w:numId="36" w16cid:durableId="1302732142">
    <w:abstractNumId w:val="12"/>
  </w:num>
  <w:num w:numId="37" w16cid:durableId="62486120">
    <w:abstractNumId w:val="2"/>
  </w:num>
  <w:num w:numId="38" w16cid:durableId="2026973793">
    <w:abstractNumId w:val="31"/>
  </w:num>
  <w:num w:numId="39" w16cid:durableId="1047990590">
    <w:abstractNumId w:val="25"/>
  </w:num>
  <w:num w:numId="40" w16cid:durableId="1136022732">
    <w:abstractNumId w:val="25"/>
  </w:num>
  <w:num w:numId="41" w16cid:durableId="1279607406">
    <w:abstractNumId w:val="14"/>
  </w:num>
  <w:num w:numId="42" w16cid:durableId="803081636">
    <w:abstractNumId w:val="26"/>
  </w:num>
  <w:num w:numId="43" w16cid:durableId="134246404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0B0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D3652"/>
    <w:rsid w:val="000E0B62"/>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485C"/>
    <w:rsid w:val="00156802"/>
    <w:rsid w:val="00162140"/>
    <w:rsid w:val="0017189E"/>
    <w:rsid w:val="0017793C"/>
    <w:rsid w:val="00183189"/>
    <w:rsid w:val="00183615"/>
    <w:rsid w:val="00185C8C"/>
    <w:rsid w:val="001A109C"/>
    <w:rsid w:val="001A224E"/>
    <w:rsid w:val="001A2590"/>
    <w:rsid w:val="001A688F"/>
    <w:rsid w:val="001C16C9"/>
    <w:rsid w:val="001D0325"/>
    <w:rsid w:val="001D5F49"/>
    <w:rsid w:val="001E7D4C"/>
    <w:rsid w:val="001F09D2"/>
    <w:rsid w:val="001F18B1"/>
    <w:rsid w:val="001F29F5"/>
    <w:rsid w:val="001F6EDB"/>
    <w:rsid w:val="001F6F0A"/>
    <w:rsid w:val="00214288"/>
    <w:rsid w:val="002148CE"/>
    <w:rsid w:val="00224592"/>
    <w:rsid w:val="00236B6C"/>
    <w:rsid w:val="00237DA7"/>
    <w:rsid w:val="00237DD4"/>
    <w:rsid w:val="002433A0"/>
    <w:rsid w:val="002459A2"/>
    <w:rsid w:val="00247426"/>
    <w:rsid w:val="002643FB"/>
    <w:rsid w:val="00266B52"/>
    <w:rsid w:val="00272D5E"/>
    <w:rsid w:val="00274A85"/>
    <w:rsid w:val="00277A94"/>
    <w:rsid w:val="00281536"/>
    <w:rsid w:val="002846AB"/>
    <w:rsid w:val="002853F9"/>
    <w:rsid w:val="00294A06"/>
    <w:rsid w:val="00295E72"/>
    <w:rsid w:val="002A3100"/>
    <w:rsid w:val="002B6B78"/>
    <w:rsid w:val="002C0D91"/>
    <w:rsid w:val="002C73C5"/>
    <w:rsid w:val="002E7D10"/>
    <w:rsid w:val="002F7746"/>
    <w:rsid w:val="003049C3"/>
    <w:rsid w:val="00311772"/>
    <w:rsid w:val="003135C1"/>
    <w:rsid w:val="00322F85"/>
    <w:rsid w:val="00326423"/>
    <w:rsid w:val="00330A7E"/>
    <w:rsid w:val="00330D4A"/>
    <w:rsid w:val="00336167"/>
    <w:rsid w:val="0034595C"/>
    <w:rsid w:val="00350FA2"/>
    <w:rsid w:val="003510A4"/>
    <w:rsid w:val="003577DD"/>
    <w:rsid w:val="00371166"/>
    <w:rsid w:val="00380079"/>
    <w:rsid w:val="00381049"/>
    <w:rsid w:val="00381997"/>
    <w:rsid w:val="003859DE"/>
    <w:rsid w:val="003931BD"/>
    <w:rsid w:val="003A051D"/>
    <w:rsid w:val="003B371D"/>
    <w:rsid w:val="003B67AC"/>
    <w:rsid w:val="003C75AA"/>
    <w:rsid w:val="003D3C83"/>
    <w:rsid w:val="003D4A22"/>
    <w:rsid w:val="003E60C7"/>
    <w:rsid w:val="003E711F"/>
    <w:rsid w:val="003F5577"/>
    <w:rsid w:val="004001D7"/>
    <w:rsid w:val="0040338F"/>
    <w:rsid w:val="00404BE4"/>
    <w:rsid w:val="00420AD1"/>
    <w:rsid w:val="00421416"/>
    <w:rsid w:val="004301D3"/>
    <w:rsid w:val="004364CB"/>
    <w:rsid w:val="00436ACB"/>
    <w:rsid w:val="004441B2"/>
    <w:rsid w:val="00453416"/>
    <w:rsid w:val="0046398C"/>
    <w:rsid w:val="004652B7"/>
    <w:rsid w:val="00466FD7"/>
    <w:rsid w:val="00472F83"/>
    <w:rsid w:val="00475B78"/>
    <w:rsid w:val="00481051"/>
    <w:rsid w:val="004A1928"/>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219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2128"/>
    <w:rsid w:val="005472C0"/>
    <w:rsid w:val="00565652"/>
    <w:rsid w:val="00566B7F"/>
    <w:rsid w:val="0056798C"/>
    <w:rsid w:val="00573E3E"/>
    <w:rsid w:val="005747A7"/>
    <w:rsid w:val="005758AC"/>
    <w:rsid w:val="00582496"/>
    <w:rsid w:val="00591D58"/>
    <w:rsid w:val="005A78A8"/>
    <w:rsid w:val="005B0CCD"/>
    <w:rsid w:val="005B2510"/>
    <w:rsid w:val="005B71B4"/>
    <w:rsid w:val="005C2867"/>
    <w:rsid w:val="005C34C4"/>
    <w:rsid w:val="005C7232"/>
    <w:rsid w:val="005D161E"/>
    <w:rsid w:val="005D5B45"/>
    <w:rsid w:val="005E19EE"/>
    <w:rsid w:val="005E6C2A"/>
    <w:rsid w:val="005F59DA"/>
    <w:rsid w:val="0060172A"/>
    <w:rsid w:val="00614F40"/>
    <w:rsid w:val="00622D1C"/>
    <w:rsid w:val="00626173"/>
    <w:rsid w:val="00626E48"/>
    <w:rsid w:val="00634FC5"/>
    <w:rsid w:val="006368C8"/>
    <w:rsid w:val="006424FC"/>
    <w:rsid w:val="0064675F"/>
    <w:rsid w:val="00654973"/>
    <w:rsid w:val="006556BA"/>
    <w:rsid w:val="006609C4"/>
    <w:rsid w:val="006625B3"/>
    <w:rsid w:val="006626D0"/>
    <w:rsid w:val="00662752"/>
    <w:rsid w:val="00667F6C"/>
    <w:rsid w:val="00673719"/>
    <w:rsid w:val="00677CC2"/>
    <w:rsid w:val="00682AE5"/>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372AA"/>
    <w:rsid w:val="00745BA5"/>
    <w:rsid w:val="00745FF1"/>
    <w:rsid w:val="0074728D"/>
    <w:rsid w:val="00752B85"/>
    <w:rsid w:val="00753B61"/>
    <w:rsid w:val="007548D2"/>
    <w:rsid w:val="00755138"/>
    <w:rsid w:val="00760DD3"/>
    <w:rsid w:val="00761FB3"/>
    <w:rsid w:val="00782003"/>
    <w:rsid w:val="00782ACA"/>
    <w:rsid w:val="007835ED"/>
    <w:rsid w:val="0078581C"/>
    <w:rsid w:val="007A0B59"/>
    <w:rsid w:val="007A7B79"/>
    <w:rsid w:val="007B0817"/>
    <w:rsid w:val="007B3633"/>
    <w:rsid w:val="007D0A4D"/>
    <w:rsid w:val="007D427A"/>
    <w:rsid w:val="007D471B"/>
    <w:rsid w:val="007F2BE7"/>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C1740"/>
    <w:rsid w:val="008C258D"/>
    <w:rsid w:val="008C6BF3"/>
    <w:rsid w:val="008D5589"/>
    <w:rsid w:val="008E2A65"/>
    <w:rsid w:val="008F270E"/>
    <w:rsid w:val="008F7FBA"/>
    <w:rsid w:val="009143D9"/>
    <w:rsid w:val="0092464A"/>
    <w:rsid w:val="009404C8"/>
    <w:rsid w:val="009476EC"/>
    <w:rsid w:val="00950A1A"/>
    <w:rsid w:val="00953091"/>
    <w:rsid w:val="009610C6"/>
    <w:rsid w:val="00972B53"/>
    <w:rsid w:val="009779B2"/>
    <w:rsid w:val="00985AD3"/>
    <w:rsid w:val="00987908"/>
    <w:rsid w:val="009879D5"/>
    <w:rsid w:val="009A1489"/>
    <w:rsid w:val="009A3EC7"/>
    <w:rsid w:val="009A5580"/>
    <w:rsid w:val="009A5970"/>
    <w:rsid w:val="009B2729"/>
    <w:rsid w:val="009B4498"/>
    <w:rsid w:val="009B665C"/>
    <w:rsid w:val="009B7BCE"/>
    <w:rsid w:val="009C30C0"/>
    <w:rsid w:val="009C31E0"/>
    <w:rsid w:val="009C3DD2"/>
    <w:rsid w:val="009D7063"/>
    <w:rsid w:val="009E389F"/>
    <w:rsid w:val="009E775F"/>
    <w:rsid w:val="00A00EEF"/>
    <w:rsid w:val="00A23131"/>
    <w:rsid w:val="00A308B3"/>
    <w:rsid w:val="00A33DCE"/>
    <w:rsid w:val="00A513C7"/>
    <w:rsid w:val="00A54DA2"/>
    <w:rsid w:val="00A57C84"/>
    <w:rsid w:val="00A6736D"/>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3F6"/>
    <w:rsid w:val="00B15CAE"/>
    <w:rsid w:val="00B26993"/>
    <w:rsid w:val="00B277E3"/>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33E9"/>
    <w:rsid w:val="00B94884"/>
    <w:rsid w:val="00B96FA5"/>
    <w:rsid w:val="00B973C4"/>
    <w:rsid w:val="00B973E6"/>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6075"/>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C5AA1"/>
    <w:rsid w:val="00CD6491"/>
    <w:rsid w:val="00CD7D20"/>
    <w:rsid w:val="00CF6881"/>
    <w:rsid w:val="00D01CA9"/>
    <w:rsid w:val="00D0379C"/>
    <w:rsid w:val="00D048E5"/>
    <w:rsid w:val="00D122BE"/>
    <w:rsid w:val="00D20956"/>
    <w:rsid w:val="00D25CB9"/>
    <w:rsid w:val="00D436B2"/>
    <w:rsid w:val="00D44222"/>
    <w:rsid w:val="00D44509"/>
    <w:rsid w:val="00D449E3"/>
    <w:rsid w:val="00D44A6F"/>
    <w:rsid w:val="00D51E2B"/>
    <w:rsid w:val="00D613D0"/>
    <w:rsid w:val="00D61F78"/>
    <w:rsid w:val="00D71877"/>
    <w:rsid w:val="00D74120"/>
    <w:rsid w:val="00D74445"/>
    <w:rsid w:val="00D75373"/>
    <w:rsid w:val="00D75784"/>
    <w:rsid w:val="00D7703F"/>
    <w:rsid w:val="00D81836"/>
    <w:rsid w:val="00DA5B06"/>
    <w:rsid w:val="00DB61C1"/>
    <w:rsid w:val="00DC28DE"/>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37E8C"/>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F03204"/>
    <w:rsid w:val="00F07747"/>
    <w:rsid w:val="00F07BA1"/>
    <w:rsid w:val="00F12A5E"/>
    <w:rsid w:val="00F2551E"/>
    <w:rsid w:val="00F25C60"/>
    <w:rsid w:val="00F33D0A"/>
    <w:rsid w:val="00F34984"/>
    <w:rsid w:val="00F37885"/>
    <w:rsid w:val="00F4236B"/>
    <w:rsid w:val="00F561D5"/>
    <w:rsid w:val="00F56992"/>
    <w:rsid w:val="00F6610E"/>
    <w:rsid w:val="00F66271"/>
    <w:rsid w:val="00F677A4"/>
    <w:rsid w:val="00F738A0"/>
    <w:rsid w:val="00F74097"/>
    <w:rsid w:val="00F8232F"/>
    <w:rsid w:val="00F83D57"/>
    <w:rsid w:val="00F860AD"/>
    <w:rsid w:val="00F9029E"/>
    <w:rsid w:val="00F914B8"/>
    <w:rsid w:val="00F931AF"/>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57A"/>
    <w:pPr>
      <w:spacing w:before="120" w:after="0"/>
      <w:ind w:left="1134"/>
      <w:jc w:val="both"/>
    </w:pPr>
    <w:rPr>
      <w:rFonts w:ascii="Verdana" w:hAnsi="Verdana"/>
      <w:sz w:val="20"/>
    </w:rPr>
  </w:style>
  <w:style w:type="paragraph" w:styleId="Virsraksts1">
    <w:name w:val="heading 1"/>
    <w:basedOn w:val="Parasts"/>
    <w:next w:val="Parasts"/>
    <w:link w:val="Virsraksts1Rakstz"/>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Virsraksts2">
    <w:name w:val="heading 2"/>
    <w:basedOn w:val="Parasts"/>
    <w:next w:val="Parasts"/>
    <w:link w:val="Virsraksts2Rakstz"/>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F6881"/>
    <w:rPr>
      <w:color w:val="0000FF"/>
      <w:u w:val="none"/>
    </w:rPr>
  </w:style>
  <w:style w:type="character" w:customStyle="1" w:styleId="UnresolvedMention1">
    <w:name w:val="Unresolved Mention1"/>
    <w:basedOn w:val="Noklusjumarindkopasfonts"/>
    <w:uiPriority w:val="99"/>
    <w:semiHidden/>
    <w:unhideWhenUsed/>
    <w:rsid w:val="00053D5D"/>
    <w:rPr>
      <w:color w:val="605E5C"/>
      <w:shd w:val="clear" w:color="auto" w:fill="E1DFDD"/>
    </w:rPr>
  </w:style>
  <w:style w:type="character" w:styleId="Izmantotahipersaite">
    <w:name w:val="FollowedHyperlink"/>
    <w:basedOn w:val="Noklusjumarindkopasfonts"/>
    <w:uiPriority w:val="99"/>
    <w:semiHidden/>
    <w:unhideWhenUsed/>
    <w:rsid w:val="00053D5D"/>
    <w:rPr>
      <w:color w:val="954F72" w:themeColor="followedHyperlink"/>
      <w:u w:val="single"/>
    </w:rPr>
  </w:style>
  <w:style w:type="character" w:styleId="Komentraatsauce">
    <w:name w:val="annotation reference"/>
    <w:basedOn w:val="Noklusjumarindkopasfonts"/>
    <w:uiPriority w:val="99"/>
    <w:semiHidden/>
    <w:unhideWhenUsed/>
    <w:rsid w:val="008C6BF3"/>
    <w:rPr>
      <w:sz w:val="16"/>
      <w:szCs w:val="16"/>
    </w:rPr>
  </w:style>
  <w:style w:type="paragraph" w:styleId="Komentrateksts">
    <w:name w:val="annotation text"/>
    <w:basedOn w:val="Parasts"/>
    <w:link w:val="KomentratekstsRakstz"/>
    <w:uiPriority w:val="99"/>
    <w:unhideWhenUsed/>
    <w:rsid w:val="008C6BF3"/>
    <w:pPr>
      <w:spacing w:line="240" w:lineRule="auto"/>
    </w:pPr>
    <w:rPr>
      <w:szCs w:val="20"/>
    </w:rPr>
  </w:style>
  <w:style w:type="character" w:customStyle="1" w:styleId="KomentratekstsRakstz">
    <w:name w:val="Komentāra teksts Rakstz."/>
    <w:basedOn w:val="Noklusjumarindkopasfonts"/>
    <w:link w:val="Komentrateksts"/>
    <w:uiPriority w:val="99"/>
    <w:rsid w:val="008C6BF3"/>
    <w:rPr>
      <w:sz w:val="20"/>
      <w:szCs w:val="20"/>
    </w:rPr>
  </w:style>
  <w:style w:type="paragraph" w:styleId="Komentratma">
    <w:name w:val="annotation subject"/>
    <w:basedOn w:val="Komentrateksts"/>
    <w:next w:val="Komentrateksts"/>
    <w:link w:val="KomentratmaRakstz"/>
    <w:uiPriority w:val="99"/>
    <w:semiHidden/>
    <w:unhideWhenUsed/>
    <w:rsid w:val="008C6BF3"/>
    <w:rPr>
      <w:b/>
      <w:bCs/>
    </w:rPr>
  </w:style>
  <w:style w:type="character" w:customStyle="1" w:styleId="KomentratmaRakstz">
    <w:name w:val="Komentāra tēma Rakstz."/>
    <w:basedOn w:val="KomentratekstsRakstz"/>
    <w:link w:val="Komentratma"/>
    <w:uiPriority w:val="99"/>
    <w:semiHidden/>
    <w:rsid w:val="008C6BF3"/>
    <w:rPr>
      <w:b/>
      <w:bCs/>
      <w:sz w:val="20"/>
      <w:szCs w:val="20"/>
    </w:rPr>
  </w:style>
  <w:style w:type="paragraph" w:styleId="Balonteksts">
    <w:name w:val="Balloon Text"/>
    <w:basedOn w:val="Parasts"/>
    <w:link w:val="BalontekstsRakstz"/>
    <w:uiPriority w:val="99"/>
    <w:semiHidden/>
    <w:unhideWhenUsed/>
    <w:rsid w:val="008C6BF3"/>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C6BF3"/>
    <w:rPr>
      <w:rFonts w:ascii="Segoe UI" w:hAnsi="Segoe UI" w:cs="Segoe UI"/>
      <w:sz w:val="18"/>
      <w:szCs w:val="18"/>
    </w:rPr>
  </w:style>
  <w:style w:type="paragraph" w:styleId="Sarakstarindkopa">
    <w:name w:val="List Paragraph"/>
    <w:basedOn w:val="Parasts"/>
    <w:uiPriority w:val="34"/>
    <w:qFormat/>
    <w:rsid w:val="00281536"/>
    <w:pPr>
      <w:ind w:left="720"/>
      <w:contextualSpacing/>
    </w:pPr>
  </w:style>
  <w:style w:type="paragraph" w:customStyle="1" w:styleId="Mansstils">
    <w:name w:val="Mans stils"/>
    <w:basedOn w:val="Parasts"/>
    <w:link w:val="MansstilsChar"/>
    <w:qFormat/>
    <w:rsid w:val="00381049"/>
    <w:pPr>
      <w:numPr>
        <w:numId w:val="4"/>
      </w:numPr>
      <w:ind w:left="1491" w:hanging="357"/>
    </w:pPr>
    <w:rPr>
      <w:b/>
    </w:rPr>
  </w:style>
  <w:style w:type="character" w:customStyle="1" w:styleId="MansstilsChar">
    <w:name w:val="Mans stils Char"/>
    <w:basedOn w:val="Noklusjumarindkopasfonts"/>
    <w:link w:val="Mansstils"/>
    <w:rsid w:val="00381049"/>
    <w:rPr>
      <w:rFonts w:ascii="Verdana" w:hAnsi="Verdana"/>
      <w:b/>
      <w:sz w:val="20"/>
    </w:rPr>
  </w:style>
  <w:style w:type="paragraph" w:styleId="Prskatjums">
    <w:name w:val="Revision"/>
    <w:hidden/>
    <w:uiPriority w:val="99"/>
    <w:semiHidden/>
    <w:rsid w:val="009C30C0"/>
    <w:pPr>
      <w:spacing w:after="0" w:line="240" w:lineRule="auto"/>
    </w:pPr>
  </w:style>
  <w:style w:type="character" w:customStyle="1" w:styleId="Virsraksts1Rakstz">
    <w:name w:val="Virsraksts 1 Rakstz."/>
    <w:basedOn w:val="Noklusjumarindkopasfonts"/>
    <w:link w:val="Virsraksts1"/>
    <w:uiPriority w:val="9"/>
    <w:rsid w:val="00F738A0"/>
    <w:rPr>
      <w:rFonts w:ascii="Verdana" w:eastAsiaTheme="majorEastAsia" w:hAnsi="Verdana" w:cstheme="majorBidi"/>
      <w:color w:val="009999"/>
      <w:sz w:val="26"/>
      <w:szCs w:val="32"/>
    </w:rPr>
  </w:style>
  <w:style w:type="character" w:customStyle="1" w:styleId="Virsraksts2Rakstz">
    <w:name w:val="Virsraksts 2 Rakstz."/>
    <w:basedOn w:val="Noklusjumarindkopasfonts"/>
    <w:link w:val="Virsraksts2"/>
    <w:uiPriority w:val="9"/>
    <w:rsid w:val="00114A54"/>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114A54"/>
    <w:rPr>
      <w:rFonts w:asciiTheme="majorHAnsi" w:eastAsiaTheme="majorEastAsia" w:hAnsiTheme="majorHAnsi" w:cstheme="majorBidi"/>
      <w:color w:val="1F3763" w:themeColor="accent1" w:themeShade="7F"/>
      <w:sz w:val="24"/>
      <w:szCs w:val="24"/>
    </w:rPr>
  </w:style>
  <w:style w:type="character" w:styleId="Izteiksmgs">
    <w:name w:val="Strong"/>
    <w:basedOn w:val="Noklusjumarindkopasfonts"/>
    <w:uiPriority w:val="22"/>
    <w:qFormat/>
    <w:rsid w:val="009879D5"/>
    <w:rPr>
      <w:b/>
      <w:bCs/>
    </w:rPr>
  </w:style>
  <w:style w:type="paragraph" w:styleId="Saturardtjavirsraksts">
    <w:name w:val="TOC Heading"/>
    <w:basedOn w:val="Virsraksts1"/>
    <w:next w:val="Parasts"/>
    <w:uiPriority w:val="39"/>
    <w:unhideWhenUsed/>
    <w:qFormat/>
    <w:rsid w:val="000247ED"/>
    <w:pPr>
      <w:outlineLvl w:val="9"/>
    </w:pPr>
    <w:rPr>
      <w:lang w:val="en-US"/>
    </w:rPr>
  </w:style>
  <w:style w:type="paragraph" w:styleId="Saturs1">
    <w:name w:val="toc 1"/>
    <w:basedOn w:val="Parasts"/>
    <w:next w:val="Parasts"/>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Saturs2">
    <w:name w:val="toc 2"/>
    <w:basedOn w:val="Parasts"/>
    <w:next w:val="Parasts"/>
    <w:autoRedefine/>
    <w:uiPriority w:val="39"/>
    <w:unhideWhenUsed/>
    <w:rsid w:val="004A290C"/>
    <w:pPr>
      <w:tabs>
        <w:tab w:val="right" w:leader="dot" w:pos="9061"/>
      </w:tabs>
      <w:spacing w:after="120" w:line="240" w:lineRule="auto"/>
      <w:ind w:left="567" w:hanging="567"/>
    </w:pPr>
  </w:style>
  <w:style w:type="character" w:styleId="Neatrisintapieminana">
    <w:name w:val="Unresolved Mention"/>
    <w:basedOn w:val="Noklusjumarindkopasfonts"/>
    <w:uiPriority w:val="99"/>
    <w:semiHidden/>
    <w:unhideWhenUsed/>
    <w:rsid w:val="001F6F0A"/>
    <w:rPr>
      <w:color w:val="605E5C"/>
      <w:shd w:val="clear" w:color="auto" w:fill="E1DFDD"/>
    </w:rPr>
  </w:style>
  <w:style w:type="paragraph" w:styleId="Saturs3">
    <w:name w:val="toc 3"/>
    <w:basedOn w:val="Parasts"/>
    <w:next w:val="Parasts"/>
    <w:autoRedefine/>
    <w:uiPriority w:val="39"/>
    <w:unhideWhenUsed/>
    <w:rsid w:val="00183189"/>
    <w:pPr>
      <w:spacing w:after="100"/>
      <w:ind w:left="440"/>
    </w:pPr>
    <w:rPr>
      <w:rFonts w:eastAsiaTheme="minorEastAsia" w:cs="Times New Roman"/>
      <w:lang w:val="en-US"/>
    </w:rPr>
  </w:style>
  <w:style w:type="paragraph" w:styleId="Bezatstarpm">
    <w:name w:val="No Spacing"/>
    <w:uiPriority w:val="1"/>
    <w:qFormat/>
    <w:rsid w:val="008A257A"/>
    <w:pPr>
      <w:numPr>
        <w:numId w:val="41"/>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82889">
      <w:bodyDiv w:val="1"/>
      <w:marLeft w:val="0"/>
      <w:marRight w:val="0"/>
      <w:marTop w:val="0"/>
      <w:marBottom w:val="0"/>
      <w:divBdr>
        <w:top w:val="none" w:sz="0" w:space="0" w:color="auto"/>
        <w:left w:val="none" w:sz="0" w:space="0" w:color="auto"/>
        <w:bottom w:val="none" w:sz="0" w:space="0" w:color="auto"/>
        <w:right w:val="none" w:sz="0" w:space="0" w:color="auto"/>
      </w:divBdr>
    </w:div>
    <w:div w:id="676925595">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416974742">
      <w:bodyDiv w:val="1"/>
      <w:marLeft w:val="0"/>
      <w:marRight w:val="0"/>
      <w:marTop w:val="0"/>
      <w:marBottom w:val="0"/>
      <w:divBdr>
        <w:top w:val="none" w:sz="0" w:space="0" w:color="auto"/>
        <w:left w:val="none" w:sz="0" w:space="0" w:color="auto"/>
        <w:bottom w:val="none" w:sz="0" w:space="0" w:color="auto"/>
        <w:right w:val="none" w:sz="0" w:space="0" w:color="auto"/>
      </w:divBdr>
    </w:div>
    <w:div w:id="1517033815">
      <w:bodyDiv w:val="1"/>
      <w:marLeft w:val="0"/>
      <w:marRight w:val="0"/>
      <w:marTop w:val="0"/>
      <w:marBottom w:val="0"/>
      <w:divBdr>
        <w:top w:val="none" w:sz="0" w:space="0" w:color="auto"/>
        <w:left w:val="none" w:sz="0" w:space="0" w:color="auto"/>
        <w:bottom w:val="none" w:sz="0" w:space="0" w:color="auto"/>
        <w:right w:val="none" w:sz="0" w:space="0" w:color="auto"/>
      </w:divBdr>
    </w:div>
    <w:div w:id="1672902743">
      <w:bodyDiv w:val="1"/>
      <w:marLeft w:val="0"/>
      <w:marRight w:val="0"/>
      <w:marTop w:val="0"/>
      <w:marBottom w:val="0"/>
      <w:divBdr>
        <w:top w:val="none" w:sz="0" w:space="0" w:color="auto"/>
        <w:left w:val="none" w:sz="0" w:space="0" w:color="auto"/>
        <w:bottom w:val="none" w:sz="0" w:space="0" w:color="auto"/>
        <w:right w:val="none" w:sz="0" w:space="0" w:color="auto"/>
      </w:divBdr>
    </w:div>
    <w:div w:id="19122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3R0549&amp;qid=1620971173222" TargetMode="External"/><Relationship Id="rId13" Type="http://schemas.openxmlformats.org/officeDocument/2006/relationships/hyperlink" Target="https://eur-lex.europa.eu/legal-content/LV/TXT/?uri=CELEX%3A32013R0549&amp;qid=1621257427579" TargetMode="External"/><Relationship Id="rId18" Type="http://schemas.openxmlformats.org/officeDocument/2006/relationships/hyperlink" Target="https://www.em.gov.lv/lv/ekonomiska-attistib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cb.europa.eu/stats/html/index.en.html"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likumi.lv/ta/id/274749" TargetMode="External"/><Relationship Id="rId17" Type="http://schemas.openxmlformats.org/officeDocument/2006/relationships/hyperlink" Target="https://stat.gov.lv/lv/statistikas-temas/uznemejdarbiba/uznemejdarbibas-finanses/tabulas/ufn040c-nefinansu-komersantu?themeCode=U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at.gov.lv/lv/statistikas-temas/uznemejdarbiba/uznemejdarbibas-finanses/tabulas/ufn030c-nefinansu-komersantu?themeCode=UA" TargetMode="External"/><Relationship Id="rId20" Type="http://schemas.openxmlformats.org/officeDocument/2006/relationships/hyperlink" Target="https://www.vid.gov.lv/lv/nozaru-statistika"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r-lex.europa.eu/legal-content/LV/TXT/?uri=CELEX%3A32013O0024&amp;qid=1620971335971" TargetMode="External"/><Relationship Id="rId24" Type="http://schemas.openxmlformats.org/officeDocument/2006/relationships/hyperlink" Target="https://www.csp.gov.lv/lv/informacijas-drosiba-un-datu-aizsardziba" TargetMode="External"/><Relationship Id="rId5" Type="http://schemas.openxmlformats.org/officeDocument/2006/relationships/webSettings" Target="webSettings.xml"/><Relationship Id="rId15" Type="http://schemas.openxmlformats.org/officeDocument/2006/relationships/hyperlink" Target="https://stat.gov.lv/lv/statistikas-temas/uznemejdarbiba/uznemejdarbibas-finanses/tabulas/ufn020c-nefinansu-komersantu?themeCode=UA" TargetMode="External"/><Relationship Id="rId23" Type="http://schemas.openxmlformats.org/officeDocument/2006/relationships/hyperlink" Target="https://eur-lex.europa.eu/legal-content/LV/TXT/?uri=celex%3A32016R0679" TargetMode="External"/><Relationship Id="rId10" Type="http://schemas.openxmlformats.org/officeDocument/2006/relationships/hyperlink" Target="https://eur-lex.europa.eu/legal-content/LV/TXT/?uri=CELEX%3A32011O0023&amp;qid=1620971261685" TargetMode="External"/><Relationship Id="rId19" Type="http://schemas.openxmlformats.org/officeDocument/2006/relationships/hyperlink" Target="https://www.makroekonomika.lv/tautsaimniecibas-raditaji" TargetMode="External"/><Relationship Id="rId4" Type="http://schemas.openxmlformats.org/officeDocument/2006/relationships/settings" Target="settings.xml"/><Relationship Id="rId9" Type="http://schemas.openxmlformats.org/officeDocument/2006/relationships/hyperlink" Target="https://eur-lex.europa.eu/legal-content/LV/TXT/?uri=CELEX%3A32005R0184&amp;qid=1620971221642" TargetMode="External"/><Relationship Id="rId14" Type="http://schemas.openxmlformats.org/officeDocument/2006/relationships/hyperlink" Target="https://stat.gov.lv/lv/statistikas-temas/uznemejdarbiba/uznemejdarbibas-finanses/tabulas/ufn010c-nefinansu-komersantu?themeCode=UA" TargetMode="External"/><Relationship Id="rId22" Type="http://schemas.openxmlformats.org/officeDocument/2006/relationships/hyperlink" Target="https://www.imf.org/en/Dat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6005</Words>
  <Characters>3423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Ilgvars Kaparkalejs</cp:lastModifiedBy>
  <cp:revision>6</cp:revision>
  <cp:lastPrinted>2023-03-16T12:41:00Z</cp:lastPrinted>
  <dcterms:created xsi:type="dcterms:W3CDTF">2023-10-04T18:54:00Z</dcterms:created>
  <dcterms:modified xsi:type="dcterms:W3CDTF">2025-11-14T09:50:00Z</dcterms:modified>
</cp:coreProperties>
</file>