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50E4E04E" w:rsidR="0051672D" w:rsidRPr="00883277" w:rsidRDefault="006C4FEE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līzinga sniegšanu” (1-līzings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BE617A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BE617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46E5682F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BE617A">
          <w:rPr>
            <w:rStyle w:val="Hyperlink"/>
            <w:rFonts w:cs="Verdana"/>
            <w:szCs w:val="20"/>
          </w:rPr>
          <w:t>Oficiālās statistikas programmas</w:t>
        </w:r>
      </w:hyperlink>
      <w:r w:rsidRPr="006C4FEE">
        <w:rPr>
          <w:color w:val="0000FF"/>
        </w:rPr>
        <w:t xml:space="preserve"> </w:t>
      </w:r>
      <w:r w:rsidRPr="006C4FEE">
        <w:t>pielikuma 1. punktā (Nacionālo kontu sistēma)</w:t>
      </w:r>
      <w:r w:rsidR="006C4FEE" w:rsidRPr="006C4FEE">
        <w:t>.</w:t>
      </w:r>
    </w:p>
    <w:p w14:paraId="72A32E49" w14:textId="61E8B6A5" w:rsidR="00381049" w:rsidRDefault="006C4FEE" w:rsidP="00214288">
      <w:pPr>
        <w:rPr>
          <w:bCs/>
          <w:color w:val="000000"/>
        </w:rPr>
      </w:pPr>
      <w:r>
        <w:t xml:space="preserve">Uzņēmumu dati ir galvenais datu avots </w:t>
      </w:r>
      <w:r>
        <w:rPr>
          <w:rFonts w:cs="Times New Roman"/>
        </w:rPr>
        <w:t>par līzinga un faktoringa darījumu apjomu, kā arī</w:t>
      </w:r>
      <w:r>
        <w:t xml:space="preserve"> netieši novērtēto finanšu starpniecības pakalpojumu aprēķiniem nacionālo kontu sistēmas finanšu sektora </w:t>
      </w:r>
      <w:proofErr w:type="spellStart"/>
      <w:r>
        <w:t>apakšsektorā</w:t>
      </w:r>
      <w:proofErr w:type="spellEnd"/>
      <w:r>
        <w:t xml:space="preserve"> par citiem finanšu starpniekiem, izņemot apdrošināšanas sabiedrības un pensiju fondus.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bookmarkStart w:id="3" w:name="_Hlk71357224"/>
    <w:bookmarkStart w:id="4" w:name="_Hlk71356916"/>
    <w:bookmarkStart w:id="5" w:name="_Hlk49354183"/>
    <w:p w14:paraId="74DB1737" w14:textId="75C1AEC1" w:rsidR="006C4FEE" w:rsidRDefault="006C4FEE" w:rsidP="006C4FEE">
      <w:pPr>
        <w:pStyle w:val="NoSpacing"/>
      </w:pPr>
      <w:r>
        <w:fldChar w:fldCharType="begin"/>
      </w:r>
      <w:r>
        <w:instrText xml:space="preserve"> HYPERLINK "https://eur-lex.europa.eu/legal-content/LV/TXT/?uri=CELEX%3A32013R0549&amp;qid=1620995751512" </w:instrText>
      </w:r>
      <w:r>
        <w:fldChar w:fldCharType="separate"/>
      </w:r>
      <w:r w:rsidRPr="006C4FEE">
        <w:rPr>
          <w:rStyle w:val="Hyperlink"/>
        </w:rPr>
        <w:t>Eiropas Parlamenta un Padomes 2013. gada 21. maija Regul</w:t>
      </w:r>
      <w:r w:rsidR="00C8631F">
        <w:rPr>
          <w:rStyle w:val="Hyperlink"/>
        </w:rPr>
        <w:t>u</w:t>
      </w:r>
      <w:r w:rsidRPr="006C4FEE">
        <w:rPr>
          <w:rStyle w:val="Hyperlink"/>
        </w:rPr>
        <w:t xml:space="preserve"> (ES) Nr. 549/2013</w:t>
      </w:r>
      <w:r>
        <w:fldChar w:fldCharType="end"/>
      </w:r>
      <w:r>
        <w:t xml:space="preserve"> par Eiropas nacionālo un reģionālo kontu sistēmu Eiropas Savienībā (Dokuments attiecas uz EEZ)</w:t>
      </w:r>
      <w:bookmarkEnd w:id="3"/>
      <w:bookmarkEnd w:id="4"/>
      <w:bookmarkEnd w:id="5"/>
      <w:r w:rsidR="003105BB">
        <w:t>;</w:t>
      </w:r>
    </w:p>
    <w:p w14:paraId="1416810F" w14:textId="38EB5FBD" w:rsidR="006C4FEE" w:rsidRDefault="00BE617A" w:rsidP="006C4FEE">
      <w:pPr>
        <w:pStyle w:val="NoSpacing"/>
        <w:rPr>
          <w:rFonts w:eastAsia="Times New Roman" w:cs="Arial"/>
          <w:lang w:eastAsia="lv-LV"/>
        </w:rPr>
      </w:pPr>
      <w:hyperlink r:id="rId8" w:history="1">
        <w:r w:rsidR="006C4FEE" w:rsidRPr="006C4FEE">
          <w:rPr>
            <w:rStyle w:val="Hyperlink"/>
            <w:rFonts w:eastAsia="Times New Roman" w:cs="Arial"/>
            <w:lang w:eastAsia="lv-LV"/>
          </w:rPr>
          <w:t>Padomes 1998. gada 16. februāra Regul</w:t>
        </w:r>
        <w:r w:rsidR="00C8631F">
          <w:rPr>
            <w:rStyle w:val="Hyperlink"/>
            <w:rFonts w:eastAsia="Times New Roman" w:cs="Arial"/>
            <w:lang w:eastAsia="lv-LV"/>
          </w:rPr>
          <w:t>u</w:t>
        </w:r>
        <w:r w:rsidR="006C4FEE" w:rsidRPr="006C4FEE">
          <w:rPr>
            <w:rStyle w:val="Hyperlink"/>
            <w:rFonts w:eastAsia="Times New Roman" w:cs="Arial"/>
            <w:lang w:eastAsia="lv-LV"/>
          </w:rPr>
          <w:t xml:space="preserve"> (EK) Nr. 448/98</w:t>
        </w:r>
      </w:hyperlink>
      <w:r w:rsidR="006C4FEE">
        <w:rPr>
          <w:rFonts w:eastAsia="Times New Roman" w:cs="Arial"/>
          <w:lang w:eastAsia="lv-LV"/>
        </w:rPr>
        <w:t xml:space="preserve">, ar ko papildina un groza Regulu (EK) Nr. 2223/96 attiecībā uz netieši novērtēto finanšu </w:t>
      </w:r>
      <w:r w:rsidR="006C4FEE">
        <w:rPr>
          <w:rFonts w:eastAsia="Times New Roman" w:cs="Arial"/>
          <w:lang w:eastAsia="lv-LV"/>
        </w:rPr>
        <w:lastRenderedPageBreak/>
        <w:t>starpniecības pakalpojumu (FISIM) iedalīšanu Eiropas nacionālo un reģionālo kontu sistēmā (EKS);</w:t>
      </w:r>
    </w:p>
    <w:p w14:paraId="276BD1E0" w14:textId="6BEF7A48" w:rsidR="00156802" w:rsidRDefault="00BE617A" w:rsidP="006C4FEE">
      <w:pPr>
        <w:pStyle w:val="NoSpacing"/>
      </w:pPr>
      <w:hyperlink r:id="rId9" w:history="1">
        <w:r w:rsidR="006C4FEE" w:rsidRPr="006C4FEE">
          <w:rPr>
            <w:rStyle w:val="Hyperlink"/>
            <w:rFonts w:eastAsia="Times New Roman" w:cs="Arial"/>
            <w:lang w:eastAsia="lv-LV"/>
          </w:rPr>
          <w:t>Komisijas 2002. gada 23. oktobra Regul</w:t>
        </w:r>
        <w:r w:rsidR="00C8631F">
          <w:rPr>
            <w:rStyle w:val="Hyperlink"/>
            <w:rFonts w:eastAsia="Times New Roman" w:cs="Arial"/>
            <w:lang w:eastAsia="lv-LV"/>
          </w:rPr>
          <w:t>u</w:t>
        </w:r>
        <w:r w:rsidR="006C4FEE" w:rsidRPr="006C4FEE">
          <w:rPr>
            <w:rStyle w:val="Hyperlink"/>
            <w:rFonts w:eastAsia="Times New Roman" w:cs="Arial"/>
            <w:lang w:eastAsia="lv-LV"/>
          </w:rPr>
          <w:t xml:space="preserve"> (EK) Nr. 1889/2002</w:t>
        </w:r>
      </w:hyperlink>
      <w:r w:rsidR="006C4FEE">
        <w:rPr>
          <w:rFonts w:eastAsia="Times New Roman" w:cs="Arial"/>
          <w:lang w:eastAsia="lv-LV"/>
        </w:rPr>
        <w:t xml:space="preserve"> par Padomes Regulas(EK) Nr. 448/98 īstenošanu, ar kuru groza Regulu (EK) Nr. 2223/96 attiecībā uz netieši mērāmo finanšu starpniecības pakalpojumu (NMFSP) iedalīšanu Eiropas nacionālo un reģionālo kontu sistēmā (EKS) (dokuments attiecas uz EEZ).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6" w:name="_Toc70071549"/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584FBD34" w14:textId="019565C0" w:rsidR="00381049" w:rsidRDefault="006C4FEE" w:rsidP="00F914B8">
      <w:pPr>
        <w:pStyle w:val="NoSpacing"/>
        <w:numPr>
          <w:ilvl w:val="0"/>
          <w:numId w:val="0"/>
        </w:numPr>
        <w:ind w:left="1134"/>
      </w:pPr>
      <w:bookmarkStart w:id="8" w:name="_Hlk49354388"/>
      <w:r>
        <w:t>Administratīvo datu nav.</w:t>
      </w:r>
      <w:bookmarkEnd w:id="8"/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9" w:name="_Toc70071551"/>
      <w:r>
        <w:t>Kam ir jāiesniedz dati?</w:t>
      </w:r>
      <w:bookmarkEnd w:id="9"/>
    </w:p>
    <w:p w14:paraId="71539DD3" w14:textId="6193C761" w:rsidR="00D20956" w:rsidRPr="00F33D0A" w:rsidRDefault="006C4FEE" w:rsidP="004652B7">
      <w:r>
        <w:rPr>
          <w:color w:val="000000" w:themeColor="text1"/>
        </w:rPr>
        <w:t>Apsekojumā iekļauj</w:t>
      </w:r>
      <w:r>
        <w:t xml:space="preserve"> visus uzņēmumus, kuru pamatdarbība ir finanšu līzings (NACE 64.91).</w:t>
      </w:r>
    </w:p>
    <w:p w14:paraId="0A2FEF1D" w14:textId="77777777" w:rsidR="00981F4C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179B47A2" w:rsidR="00F33D0A" w:rsidRDefault="00BE617A" w:rsidP="009B34FF">
      <w:pPr>
        <w:pStyle w:val="NoSpacing"/>
        <w:rPr>
          <w:rFonts w:eastAsia="Times New Roman"/>
        </w:rPr>
      </w:pPr>
      <w:hyperlink r:id="rId11" w:history="1">
        <w:r w:rsidR="00012FBA" w:rsidRPr="00981F4C">
          <w:rPr>
            <w:rStyle w:val="Hyperlink"/>
          </w:rPr>
          <w:t>Eiropas Parlamenta un Padomes 2013. gada 21. maija Regulas (ES) Nr.</w:t>
        </w:r>
        <w:r w:rsidR="009B34FF">
          <w:rPr>
            <w:rStyle w:val="Hyperlink"/>
          </w:rPr>
          <w:t> </w:t>
        </w:r>
        <w:r w:rsidR="00012FBA" w:rsidRPr="00981F4C">
          <w:rPr>
            <w:rStyle w:val="Hyperlink"/>
          </w:rPr>
          <w:t>549/2013</w:t>
        </w:r>
      </w:hyperlink>
      <w:r w:rsidR="00012FBA" w:rsidRPr="005261B5">
        <w:t xml:space="preserve"> par </w:t>
      </w:r>
      <w:r w:rsidR="00012FBA" w:rsidRPr="005261B5">
        <w:rPr>
          <w:rFonts w:eastAsia="Times New Roman"/>
        </w:rPr>
        <w:t xml:space="preserve">Eiropas nacionālo un reģionālo kontu sistēmu Eiropas Savienībā </w:t>
      </w:r>
      <w:r w:rsidR="005C7D61">
        <w:rPr>
          <w:rFonts w:eastAsia="Times New Roman"/>
        </w:rPr>
        <w:t>2</w:t>
      </w:r>
      <w:r w:rsidR="00012FBA">
        <w:rPr>
          <w:rFonts w:eastAsia="Times New Roman"/>
        </w:rPr>
        <w:t xml:space="preserve">. pants, kā arī </w:t>
      </w:r>
      <w:r w:rsidR="00E91D81" w:rsidRPr="005261B5">
        <w:rPr>
          <w:rFonts w:eastAsia="Times New Roman"/>
        </w:rPr>
        <w:t xml:space="preserve">A </w:t>
      </w:r>
      <w:r w:rsidR="00E91D81">
        <w:rPr>
          <w:rFonts w:eastAsia="Times New Roman"/>
        </w:rPr>
        <w:t xml:space="preserve">un B </w:t>
      </w:r>
      <w:r w:rsidR="00E91D81" w:rsidRPr="005261B5">
        <w:rPr>
          <w:rFonts w:eastAsia="Times New Roman"/>
        </w:rPr>
        <w:t>pielikum</w:t>
      </w:r>
      <w:r w:rsidR="00E91D81">
        <w:rPr>
          <w:rFonts w:eastAsia="Times New Roman"/>
        </w:rPr>
        <w:t>i</w:t>
      </w:r>
      <w:r w:rsidR="00981F4C">
        <w:rPr>
          <w:rFonts w:eastAsia="Times New Roman"/>
        </w:rPr>
        <w:t>;</w:t>
      </w:r>
    </w:p>
    <w:bookmarkStart w:id="10" w:name="_Hlk74160520"/>
    <w:p w14:paraId="5AC0BF95" w14:textId="77777777" w:rsidR="00981F4C" w:rsidRDefault="00981F4C" w:rsidP="009B34FF">
      <w:pPr>
        <w:pStyle w:val="NoSpacing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 w:rsidRPr="00A611D9">
        <w:rPr>
          <w:rStyle w:val="Hyperlink"/>
        </w:rPr>
        <w:t>Ministru kabineta 2016. gada 20. decembra noteikumi Nr. 812</w:t>
      </w:r>
      <w:r>
        <w:rPr>
          <w:rStyle w:val="Hyperlink"/>
        </w:rPr>
        <w:fldChar w:fldCharType="end"/>
      </w:r>
      <w:r w:rsidRPr="00A611D9">
        <w:t xml:space="preserve"> ”Oficiālās statistikas veidlapu paraugu apstiprināšanas un veidlapu aizpildīšanas un iesniegšanas noteikumi”.</w:t>
      </w:r>
      <w:bookmarkEnd w:id="10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1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11"/>
    </w:p>
    <w:p w14:paraId="1C13EA4D" w14:textId="77777777" w:rsidR="006C4FEE" w:rsidRDefault="006C4FEE" w:rsidP="006C4FEE">
      <w:pPr>
        <w:pStyle w:val="NoSpacing"/>
      </w:pPr>
      <w:bookmarkStart w:id="12" w:name="_Toc40698654"/>
      <w:r>
        <w:t>Oficiālās statistikas portālā:</w:t>
      </w:r>
    </w:p>
    <w:p w14:paraId="43105939" w14:textId="37208BEC" w:rsidR="006C4FEE" w:rsidRPr="006C4FEE" w:rsidRDefault="00BE617A" w:rsidP="006C4FEE">
      <w:pPr>
        <w:pStyle w:val="NoSpacing"/>
        <w:numPr>
          <w:ilvl w:val="1"/>
          <w:numId w:val="40"/>
        </w:numPr>
        <w:rPr>
          <w:rFonts w:cs="Times New Roman"/>
          <w:szCs w:val="20"/>
          <w:u w:val="single"/>
        </w:rPr>
      </w:pPr>
      <w:hyperlink r:id="rId12" w:history="1">
        <w:r w:rsidR="006C4FEE" w:rsidRPr="006C4FEE">
          <w:rPr>
            <w:rStyle w:val="Hyperlink"/>
            <w:rFonts w:cs="Arial"/>
            <w:szCs w:val="20"/>
            <w:shd w:val="clear" w:color="auto" w:fill="FFFFFF"/>
          </w:rPr>
          <w:t>Līzinga un faktoringa portfelis</w:t>
        </w:r>
      </w:hyperlink>
      <w:r w:rsidR="006C4FEE" w:rsidRPr="006C4FEE">
        <w:rPr>
          <w:rFonts w:cs="Arial"/>
          <w:szCs w:val="20"/>
          <w:shd w:val="clear" w:color="auto" w:fill="FFFFFF"/>
        </w:rPr>
        <w:t xml:space="preserve"> </w:t>
      </w:r>
    </w:p>
    <w:p w14:paraId="653BC3F6" w14:textId="76A4B11A" w:rsidR="006C4FEE" w:rsidRPr="006C4FEE" w:rsidRDefault="00BE617A" w:rsidP="006C4FEE">
      <w:pPr>
        <w:pStyle w:val="NoSpacing"/>
        <w:numPr>
          <w:ilvl w:val="1"/>
          <w:numId w:val="40"/>
        </w:numPr>
        <w:rPr>
          <w:rFonts w:cs="Times New Roman"/>
          <w:szCs w:val="20"/>
          <w:u w:val="single"/>
        </w:rPr>
      </w:pPr>
      <w:hyperlink r:id="rId13" w:history="1">
        <w:r w:rsidR="006C4FEE" w:rsidRPr="006C4FEE">
          <w:rPr>
            <w:rStyle w:val="Hyperlink"/>
            <w:rFonts w:cs="Arial"/>
            <w:szCs w:val="20"/>
            <w:shd w:val="clear" w:color="auto" w:fill="FFFFFF"/>
          </w:rPr>
          <w:t>Finanšu līzinga portfeļa sadalījums pēc līzinga ņēmēju institucionālā sektora</w:t>
        </w:r>
      </w:hyperlink>
    </w:p>
    <w:p w14:paraId="438F1029" w14:textId="272B2084" w:rsidR="00381049" w:rsidRPr="006C4FEE" w:rsidRDefault="00BE617A" w:rsidP="006C4FEE">
      <w:pPr>
        <w:pStyle w:val="NoSpacing"/>
        <w:numPr>
          <w:ilvl w:val="1"/>
          <w:numId w:val="40"/>
        </w:numPr>
        <w:rPr>
          <w:rStyle w:val="Hyperlink"/>
          <w:rFonts w:cs="Times New Roman"/>
          <w:color w:val="auto"/>
          <w:szCs w:val="20"/>
          <w:u w:val="single"/>
        </w:rPr>
      </w:pPr>
      <w:hyperlink r:id="rId14" w:history="1">
        <w:r w:rsidR="006C4FEE" w:rsidRPr="006C4FEE">
          <w:rPr>
            <w:rStyle w:val="Hyperlink"/>
            <w:rFonts w:cs="Arial"/>
            <w:szCs w:val="20"/>
            <w:shd w:val="clear" w:color="auto" w:fill="FFFFFF"/>
          </w:rPr>
          <w:t xml:space="preserve">Finanšu līzinga portfeļa sadalījums </w:t>
        </w:r>
        <w:proofErr w:type="spellStart"/>
        <w:r w:rsidR="006C4FEE" w:rsidRPr="006C4FEE">
          <w:rPr>
            <w:rStyle w:val="Hyperlink"/>
            <w:rFonts w:cs="Arial"/>
            <w:szCs w:val="20"/>
            <w:shd w:val="clear" w:color="auto" w:fill="FFFFFF"/>
          </w:rPr>
          <w:t>nefinanšu</w:t>
        </w:r>
        <w:proofErr w:type="spellEnd"/>
        <w:r w:rsidR="006C4FEE" w:rsidRPr="006C4FEE">
          <w:rPr>
            <w:rStyle w:val="Hyperlink"/>
            <w:rFonts w:cs="Arial"/>
            <w:szCs w:val="20"/>
            <w:shd w:val="clear" w:color="auto" w:fill="FFFFFF"/>
          </w:rPr>
          <w:t xml:space="preserve"> komersantiem pa darbības veidiem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3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2"/>
      <w:r>
        <w:t>?</w:t>
      </w:r>
      <w:bookmarkEnd w:id="13"/>
    </w:p>
    <w:p w14:paraId="60D75EF3" w14:textId="15E87F2D" w:rsidR="006C4FEE" w:rsidRPr="00DE2D44" w:rsidRDefault="00BE617A" w:rsidP="00336526">
      <w:pPr>
        <w:pStyle w:val="NoSpacing"/>
        <w:rPr>
          <w:rFonts w:cs="Times New Roman"/>
          <w:color w:val="000000" w:themeColor="text1"/>
          <w:szCs w:val="20"/>
          <w:u w:val="single"/>
        </w:rPr>
      </w:pPr>
      <w:hyperlink r:id="rId15" w:history="1">
        <w:r w:rsidR="006C4FEE" w:rsidRPr="00DE2D44">
          <w:rPr>
            <w:rStyle w:val="Hyperlink"/>
            <w:rFonts w:cs="Times New Roman"/>
            <w:szCs w:val="20"/>
          </w:rPr>
          <w:t>Latvijas Banka</w:t>
        </w:r>
      </w:hyperlink>
    </w:p>
    <w:p w14:paraId="41627009" w14:textId="178ADC6D" w:rsidR="006C4FEE" w:rsidRDefault="006C4FEE" w:rsidP="006C4FEE">
      <w:pPr>
        <w:pStyle w:val="NoSpacing"/>
        <w:rPr>
          <w:rFonts w:cs="Times New Roman"/>
          <w:color w:val="000000" w:themeColor="text1"/>
          <w:szCs w:val="20"/>
        </w:rPr>
      </w:pPr>
      <w:r w:rsidRPr="00AA7630">
        <w:rPr>
          <w:rFonts w:cs="Times New Roman"/>
        </w:rPr>
        <w:t xml:space="preserve">Pārvaldes un </w:t>
      </w:r>
      <w:bookmarkStart w:id="14" w:name="_Hlk71730883"/>
      <w:r w:rsidRPr="00AA7630">
        <w:rPr>
          <w:rFonts w:cs="Verdana"/>
          <w:color w:val="000000"/>
          <w:szCs w:val="20"/>
        </w:rPr>
        <w:t>Eiropas Savienības Statistikas biroja (Eurostat)</w:t>
      </w:r>
      <w:bookmarkEnd w:id="14"/>
      <w:r>
        <w:rPr>
          <w:rFonts w:cs="Times New Roman"/>
          <w:color w:val="000000" w:themeColor="text1"/>
          <w:szCs w:val="20"/>
        </w:rPr>
        <w:t xml:space="preserve"> datubāzēs publicētos rādītājus savu funkciju veikšanai izmanto starptautiskās </w:t>
      </w:r>
      <w:r>
        <w:rPr>
          <w:rFonts w:cs="Times New Roman"/>
          <w:color w:val="000000" w:themeColor="text1"/>
          <w:szCs w:val="20"/>
        </w:rPr>
        <w:lastRenderedPageBreak/>
        <w:t>organizācijas, kuru dalībvalsts ir Latvija vai ar kurām ir noslēgti līgumi par datu apmaiņu:</w:t>
      </w:r>
    </w:p>
    <w:p w14:paraId="7870E85A" w14:textId="225A2AB6" w:rsidR="006C4FEE" w:rsidRPr="006C4FEE" w:rsidRDefault="006C4FEE" w:rsidP="006C4FEE">
      <w:pPr>
        <w:pStyle w:val="NoSpacing"/>
        <w:numPr>
          <w:ilvl w:val="1"/>
          <w:numId w:val="43"/>
        </w:numPr>
      </w:pPr>
      <w:r w:rsidRPr="006C4FEE">
        <w:t>Eiropas Centrālā banka (</w:t>
      </w:r>
      <w:hyperlink r:id="rId16" w:history="1">
        <w:hyperlink r:id="rId17" w:history="1">
          <w:r w:rsidRPr="00DE2D44">
            <w:rPr>
              <w:rStyle w:val="Hyperlink"/>
            </w:rPr>
            <w:t>ECB</w:t>
          </w:r>
        </w:hyperlink>
      </w:hyperlink>
      <w:r w:rsidRPr="006C4FEE">
        <w:t>)</w:t>
      </w:r>
      <w:r w:rsidR="003105BB">
        <w:t>;</w:t>
      </w:r>
    </w:p>
    <w:p w14:paraId="3CB4F6A1" w14:textId="782540AF" w:rsidR="00381049" w:rsidRPr="00FB06BA" w:rsidRDefault="006C4FEE" w:rsidP="006C4FEE">
      <w:pPr>
        <w:pStyle w:val="NoSpacing"/>
        <w:numPr>
          <w:ilvl w:val="1"/>
          <w:numId w:val="43"/>
        </w:numPr>
        <w:rPr>
          <w:b/>
        </w:rPr>
      </w:pPr>
      <w:r w:rsidRPr="006C4FEE">
        <w:t>Starptautiskais Valūtas fonds (</w:t>
      </w:r>
      <w:hyperlink r:id="rId18" w:history="1">
        <w:hyperlink r:id="rId19" w:history="1">
          <w:r w:rsidRPr="00DE2D44">
            <w:rPr>
              <w:rStyle w:val="Hyperlink"/>
            </w:rPr>
            <w:t>IMF</w:t>
          </w:r>
        </w:hyperlink>
      </w:hyperlink>
      <w:r w:rsidRPr="006C4FEE">
        <w:t>)</w:t>
      </w:r>
      <w:r w:rsidR="003105BB">
        <w:t>.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5" w:name="_Toc70071554"/>
      <w:r>
        <w:t>Vai Pārvalde ievēro d</w:t>
      </w:r>
      <w:r w:rsidR="00CB2A49" w:rsidRPr="00C13E38">
        <w:t>atu konfidencialitāt</w:t>
      </w:r>
      <w:r>
        <w:t>i?</w:t>
      </w:r>
      <w:bookmarkEnd w:id="15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6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6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34DF934D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20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1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6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A02CF"/>
    <w:multiLevelType w:val="hybridMultilevel"/>
    <w:tmpl w:val="E9C86662"/>
    <w:lvl w:ilvl="0" w:tplc="2AB8486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D37D6E"/>
    <w:multiLevelType w:val="hybridMultilevel"/>
    <w:tmpl w:val="7982CFB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BC34150"/>
    <w:multiLevelType w:val="hybridMultilevel"/>
    <w:tmpl w:val="B12A186E"/>
    <w:lvl w:ilvl="0" w:tplc="65A4CA9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713837"/>
    <w:multiLevelType w:val="hybridMultilevel"/>
    <w:tmpl w:val="C6BA7D00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1EE80832">
      <w:numFmt w:val="bullet"/>
      <w:lvlText w:val=""/>
      <w:lvlJc w:val="left"/>
      <w:pPr>
        <w:ind w:left="2203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9403A0F"/>
    <w:multiLevelType w:val="hybridMultilevel"/>
    <w:tmpl w:val="2DACA24A"/>
    <w:lvl w:ilvl="0" w:tplc="BB76506C">
      <w:numFmt w:val="bullet"/>
      <w:lvlText w:val=""/>
      <w:lvlJc w:val="left"/>
      <w:pPr>
        <w:ind w:left="2345" w:hanging="360"/>
      </w:pPr>
      <w:rPr>
        <w:rFonts w:ascii="Wingdings" w:hAnsi="Wingdings" w:cs="Times New Roman" w:hint="default"/>
        <w:color w:val="A5A5A5" w:themeColor="accent3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25EEA"/>
    <w:multiLevelType w:val="hybridMultilevel"/>
    <w:tmpl w:val="FAA05FB6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3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63495568">
    <w:abstractNumId w:val="17"/>
  </w:num>
  <w:num w:numId="2" w16cid:durableId="1188831346">
    <w:abstractNumId w:val="32"/>
  </w:num>
  <w:num w:numId="3" w16cid:durableId="432096279">
    <w:abstractNumId w:val="21"/>
  </w:num>
  <w:num w:numId="4" w16cid:durableId="2002390602">
    <w:abstractNumId w:val="22"/>
  </w:num>
  <w:num w:numId="5" w16cid:durableId="1841391124">
    <w:abstractNumId w:val="33"/>
  </w:num>
  <w:num w:numId="6" w16cid:durableId="1604339770">
    <w:abstractNumId w:val="30"/>
  </w:num>
  <w:num w:numId="7" w16cid:durableId="1112364514">
    <w:abstractNumId w:val="17"/>
  </w:num>
  <w:num w:numId="8" w16cid:durableId="612325497">
    <w:abstractNumId w:val="17"/>
  </w:num>
  <w:num w:numId="9" w16cid:durableId="1497958808">
    <w:abstractNumId w:val="17"/>
  </w:num>
  <w:num w:numId="10" w16cid:durableId="2098095969">
    <w:abstractNumId w:val="17"/>
  </w:num>
  <w:num w:numId="11" w16cid:durableId="111018850">
    <w:abstractNumId w:val="0"/>
  </w:num>
  <w:num w:numId="12" w16cid:durableId="34353846">
    <w:abstractNumId w:val="21"/>
  </w:num>
  <w:num w:numId="13" w16cid:durableId="689570708">
    <w:abstractNumId w:val="12"/>
  </w:num>
  <w:num w:numId="14" w16cid:durableId="468403667">
    <w:abstractNumId w:val="6"/>
  </w:num>
  <w:num w:numId="15" w16cid:durableId="1716075332">
    <w:abstractNumId w:val="19"/>
  </w:num>
  <w:num w:numId="16" w16cid:durableId="1551303147">
    <w:abstractNumId w:val="2"/>
  </w:num>
  <w:num w:numId="17" w16cid:durableId="1271619733">
    <w:abstractNumId w:val="22"/>
  </w:num>
  <w:num w:numId="18" w16cid:durableId="993291573">
    <w:abstractNumId w:val="22"/>
  </w:num>
  <w:num w:numId="19" w16cid:durableId="484057366">
    <w:abstractNumId w:val="10"/>
  </w:num>
  <w:num w:numId="20" w16cid:durableId="1277904457">
    <w:abstractNumId w:val="34"/>
  </w:num>
  <w:num w:numId="21" w16cid:durableId="744381385">
    <w:abstractNumId w:val="11"/>
  </w:num>
  <w:num w:numId="22" w16cid:durableId="1795907172">
    <w:abstractNumId w:val="24"/>
  </w:num>
  <w:num w:numId="23" w16cid:durableId="1630012196">
    <w:abstractNumId w:val="3"/>
  </w:num>
  <w:num w:numId="24" w16cid:durableId="186139364">
    <w:abstractNumId w:val="8"/>
  </w:num>
  <w:num w:numId="25" w16cid:durableId="865749829">
    <w:abstractNumId w:val="1"/>
  </w:num>
  <w:num w:numId="26" w16cid:durableId="524056012">
    <w:abstractNumId w:val="28"/>
  </w:num>
  <w:num w:numId="27" w16cid:durableId="238831751">
    <w:abstractNumId w:val="18"/>
  </w:num>
  <w:num w:numId="28" w16cid:durableId="1279601848">
    <w:abstractNumId w:val="7"/>
  </w:num>
  <w:num w:numId="29" w16cid:durableId="2102530932">
    <w:abstractNumId w:val="16"/>
  </w:num>
  <w:num w:numId="30" w16cid:durableId="618293721">
    <w:abstractNumId w:val="25"/>
  </w:num>
  <w:num w:numId="31" w16cid:durableId="645550866">
    <w:abstractNumId w:val="27"/>
  </w:num>
  <w:num w:numId="32" w16cid:durableId="595207561">
    <w:abstractNumId w:val="15"/>
  </w:num>
  <w:num w:numId="33" w16cid:durableId="1436904752">
    <w:abstractNumId w:val="29"/>
  </w:num>
  <w:num w:numId="34" w16cid:durableId="11761647">
    <w:abstractNumId w:val="20"/>
  </w:num>
  <w:num w:numId="35" w16cid:durableId="731736615">
    <w:abstractNumId w:val="13"/>
  </w:num>
  <w:num w:numId="36" w16cid:durableId="431902285">
    <w:abstractNumId w:val="14"/>
  </w:num>
  <w:num w:numId="37" w16cid:durableId="1483892284">
    <w:abstractNumId w:val="9"/>
  </w:num>
  <w:num w:numId="38" w16cid:durableId="1530874067">
    <w:abstractNumId w:val="4"/>
  </w:num>
  <w:num w:numId="39" w16cid:durableId="1435711230">
    <w:abstractNumId w:val="26"/>
  </w:num>
  <w:num w:numId="40" w16cid:durableId="1160199215">
    <w:abstractNumId w:val="31"/>
  </w:num>
  <w:num w:numId="41" w16cid:durableId="1150633415">
    <w:abstractNumId w:val="23"/>
  </w:num>
  <w:num w:numId="42" w16cid:durableId="1560019090">
    <w:abstractNumId w:val="23"/>
  </w:num>
  <w:num w:numId="43" w16cid:durableId="1561892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12FBA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05BB"/>
    <w:rsid w:val="00311772"/>
    <w:rsid w:val="003135C1"/>
    <w:rsid w:val="00322F85"/>
    <w:rsid w:val="00326423"/>
    <w:rsid w:val="00330A7E"/>
    <w:rsid w:val="00330D4A"/>
    <w:rsid w:val="00336167"/>
    <w:rsid w:val="00336526"/>
    <w:rsid w:val="0034595C"/>
    <w:rsid w:val="003510A4"/>
    <w:rsid w:val="003577DD"/>
    <w:rsid w:val="00367FA8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C7CE2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0877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C7D61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C4FEE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429A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F4C"/>
    <w:rsid w:val="00985AD3"/>
    <w:rsid w:val="00987908"/>
    <w:rsid w:val="009879D5"/>
    <w:rsid w:val="009A1489"/>
    <w:rsid w:val="009A5580"/>
    <w:rsid w:val="009A5970"/>
    <w:rsid w:val="009B2729"/>
    <w:rsid w:val="009B34FF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D1A4C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E617A"/>
    <w:rsid w:val="00BF42FC"/>
    <w:rsid w:val="00BF5F08"/>
    <w:rsid w:val="00BF799B"/>
    <w:rsid w:val="00C12CDF"/>
    <w:rsid w:val="00C13E38"/>
    <w:rsid w:val="00C14AE9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31F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6881"/>
    <w:rsid w:val="00D01CA9"/>
    <w:rsid w:val="00D0379C"/>
    <w:rsid w:val="00D048E5"/>
    <w:rsid w:val="00D122BE"/>
    <w:rsid w:val="00D16C2A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2D44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1D81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1998R0448&amp;qid=1620995832571" TargetMode="External"/><Relationship Id="rId13" Type="http://schemas.openxmlformats.org/officeDocument/2006/relationships/hyperlink" Target="https://stat.gov.lv/lv/statistikas-temas/uznemejdarbiba/uznemejdarbibas-finanses/tabulas/ufl020c-finansu-lizinga-portfela?themeCode=UA" TargetMode="External"/><Relationship Id="rId18" Type="http://schemas.openxmlformats.org/officeDocument/2006/relationships/hyperlink" Target="https://www.imf.org/en/Dat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p.gov.lv/lv/informacijas-drosiba-un-datu-aizsardziba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uznemejdarbiba/uznemejdarbibas-finanses/tabulas/ufl010c-lizinga-un-faktoringa?themeCode=UA" TargetMode="External"/><Relationship Id="rId17" Type="http://schemas.openxmlformats.org/officeDocument/2006/relationships/hyperlink" Target="https://www.ecb.europa.eu/stats/html/index.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b.europa.eu/stats/html/index.en.html" TargetMode="External"/><Relationship Id="rId20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legal-content/LV/TXT/?uri=CELEX%3A32013R0549&amp;qid=16209957515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nk.lv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kumi.lv/ta/id/274749" TargetMode="External"/><Relationship Id="rId19" Type="http://schemas.openxmlformats.org/officeDocument/2006/relationships/hyperlink" Target="https://www.imf.org/en/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2R1889&amp;qid=1620995875632" TargetMode="External"/><Relationship Id="rId14" Type="http://schemas.openxmlformats.org/officeDocument/2006/relationships/hyperlink" Target="https://stat.gov.lv/lv/statistikas-temas/uznemejdarbiba/uznemejdarbibas-finanses/tabulas/ufl030c-finansu-lizinga-portfela?themeCode=UA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4531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11</cp:revision>
  <cp:lastPrinted>2023-03-16T12:47:00Z</cp:lastPrinted>
  <dcterms:created xsi:type="dcterms:W3CDTF">2021-06-22T10:52:00Z</dcterms:created>
  <dcterms:modified xsi:type="dcterms:W3CDTF">2024-12-13T12:49:00Z</dcterms:modified>
</cp:coreProperties>
</file>