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13D93D1E" w:rsidR="0051672D" w:rsidRPr="00883277" w:rsidRDefault="0064116D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viesnīcu un citu tūristu mītņu darbību” (1-tūristu mītnes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2130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2130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2130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2130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2130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2130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2130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2130E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413CC546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CF6DB3">
          <w:rPr>
            <w:rStyle w:val="Hyperlink"/>
            <w:rFonts w:cs="Verdana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</w:t>
      </w:r>
      <w:r w:rsidRPr="0064116D">
        <w:t>elikuma 1.</w:t>
      </w:r>
      <w:r w:rsidR="00981005" w:rsidRPr="0064116D">
        <w:t> </w:t>
      </w:r>
      <w:r w:rsidRPr="0064116D">
        <w:t xml:space="preserve">punktā (Nacionālo kontu sistēma) un </w:t>
      </w:r>
      <w:r w:rsidR="0064116D" w:rsidRPr="0064116D">
        <w:rPr>
          <w:szCs w:val="20"/>
        </w:rPr>
        <w:t>25. punktā (Tūrisma statistika)</w:t>
      </w:r>
      <w:r w:rsidRPr="0064116D">
        <w:t>.</w:t>
      </w:r>
    </w:p>
    <w:p w14:paraId="0D729883" w14:textId="7F131ADF" w:rsidR="0064116D" w:rsidRPr="0064116D" w:rsidRDefault="006E5AF0" w:rsidP="0064116D">
      <w:pPr>
        <w:rPr>
          <w:rFonts w:cs="Times New Roman"/>
        </w:rPr>
      </w:pPr>
      <w:r>
        <w:rPr>
          <w:rFonts w:cs="Times New Roman"/>
          <w:bCs/>
          <w:color w:val="000000"/>
        </w:rPr>
        <w:t>Ikviena</w:t>
      </w:r>
      <w:r w:rsidR="0064116D">
        <w:rPr>
          <w:rFonts w:cs="Times New Roman"/>
          <w:bCs/>
          <w:color w:val="000000"/>
        </w:rPr>
        <w:t xml:space="preserve"> uzņēmuma dati sniedz būtisku ieguldījumu </w:t>
      </w:r>
      <w:r w:rsidR="0064116D">
        <w:rPr>
          <w:rFonts w:cs="Times New Roman"/>
        </w:rPr>
        <w:t xml:space="preserve">informācijas sagatavošanā </w:t>
      </w:r>
      <w:r w:rsidR="0064116D" w:rsidRPr="0064116D">
        <w:rPr>
          <w:rFonts w:cs="Times New Roman"/>
        </w:rPr>
        <w:t xml:space="preserve">ikmēneša statistikā </w:t>
      </w:r>
      <w:r w:rsidR="0064116D" w:rsidRPr="0064116D">
        <w:t xml:space="preserve">par </w:t>
      </w:r>
      <w:r w:rsidR="0064116D" w:rsidRPr="0064116D">
        <w:rPr>
          <w:rStyle w:val="Strong"/>
          <w:rFonts w:cs="Open Sans"/>
          <w:b w:val="0"/>
          <w:bCs w:val="0"/>
          <w:color w:val="000000"/>
          <w:szCs w:val="20"/>
        </w:rPr>
        <w:t>viesnīcu un citu tūristu mītņu darbību, par tūristu mītnēs apkalpoto cilvēku un pavadīto nakšu skaitu, numuru un gultasvietu noslogojumu,</w:t>
      </w:r>
      <w:r w:rsidR="0064116D">
        <w:rPr>
          <w:rStyle w:val="Strong"/>
          <w:rFonts w:cs="Open Sans"/>
          <w:b w:val="0"/>
          <w:bCs w:val="0"/>
          <w:color w:val="000000"/>
          <w:szCs w:val="20"/>
        </w:rPr>
        <w:t xml:space="preserve"> </w:t>
      </w:r>
      <w:r w:rsidR="0064116D" w:rsidRPr="0064116D">
        <w:rPr>
          <w:rStyle w:val="Strong"/>
          <w:rFonts w:cs="Open Sans"/>
          <w:b w:val="0"/>
          <w:bCs w:val="0"/>
          <w:color w:val="000000"/>
          <w:szCs w:val="20"/>
        </w:rPr>
        <w:t>apkalpoto cilvēku sadalījumu pa valstīm</w:t>
      </w:r>
      <w:r w:rsidR="0064116D" w:rsidRPr="0064116D">
        <w:t>.</w:t>
      </w:r>
    </w:p>
    <w:p w14:paraId="0051A3B3" w14:textId="77777777" w:rsidR="0064116D" w:rsidRPr="0064116D" w:rsidRDefault="0064116D" w:rsidP="0064116D">
      <w:r w:rsidRPr="0064116D">
        <w:t>Kopsavilkuma datus izmanto Latvijas valsts institūcijas, starptautiskās organizācijas un citi datu lietotāji:</w:t>
      </w:r>
    </w:p>
    <w:p w14:paraId="5701AFCA" w14:textId="77777777" w:rsidR="0064116D" w:rsidRPr="0064116D" w:rsidRDefault="0064116D" w:rsidP="0064116D">
      <w:pPr>
        <w:pStyle w:val="NoSpacing"/>
        <w:rPr>
          <w:rFonts w:cs="Times New Roman"/>
        </w:rPr>
      </w:pPr>
      <w:r w:rsidRPr="0064116D">
        <w:t>tūrisma valsts politikas plānošanai un izstrādei;</w:t>
      </w:r>
    </w:p>
    <w:p w14:paraId="76C1C733" w14:textId="77777777" w:rsidR="0064116D" w:rsidRPr="0064116D" w:rsidRDefault="0064116D" w:rsidP="0064116D">
      <w:pPr>
        <w:pStyle w:val="NoSpacing"/>
        <w:rPr>
          <w:rFonts w:cs="Times New Roman"/>
        </w:rPr>
      </w:pPr>
      <w:r w:rsidRPr="0064116D">
        <w:t>Latvijas tūrisma mārketinga stratēģijā noteikto tūrisma mērķa tirgu analīzei;</w:t>
      </w:r>
    </w:p>
    <w:p w14:paraId="0303F08F" w14:textId="77777777" w:rsidR="0064116D" w:rsidRPr="0064116D" w:rsidRDefault="0064116D" w:rsidP="0064116D">
      <w:pPr>
        <w:pStyle w:val="NoSpacing"/>
        <w:rPr>
          <w:rFonts w:cs="Times New Roman"/>
        </w:rPr>
      </w:pPr>
      <w:r w:rsidRPr="0064116D">
        <w:t>pašvaldību tūrisma jomas analīzei;</w:t>
      </w:r>
    </w:p>
    <w:p w14:paraId="72A32E49" w14:textId="49304955" w:rsidR="00381049" w:rsidRPr="0064116D" w:rsidRDefault="0064116D" w:rsidP="0064116D">
      <w:pPr>
        <w:pStyle w:val="NoSpacing"/>
        <w:rPr>
          <w:color w:val="000000"/>
        </w:rPr>
      </w:pPr>
      <w:r w:rsidRPr="0064116D">
        <w:rPr>
          <w:rFonts w:cs="Times New Roman"/>
        </w:rPr>
        <w:t>dažādos pētījumos.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64241C75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540D50">
        <w:t>ādus</w:t>
      </w:r>
      <w:r w:rsidRPr="00C13E38">
        <w:t xml:space="preserve"> </w:t>
      </w:r>
      <w:r w:rsidR="00322F85" w:rsidRPr="00C13E38">
        <w:t>tiesību aktu</w:t>
      </w:r>
      <w:r w:rsidR="00540D50">
        <w:t>s</w:t>
      </w:r>
      <w:r w:rsidR="00322F85" w:rsidRPr="00C13E38">
        <w:t>:</w:t>
      </w:r>
    </w:p>
    <w:p w14:paraId="276BD1E0" w14:textId="00D436E0" w:rsidR="00156802" w:rsidRPr="00540D50" w:rsidRDefault="002130EC" w:rsidP="00540D50">
      <w:pPr>
        <w:pStyle w:val="NoSpacing"/>
      </w:pPr>
      <w:hyperlink r:id="rId8" w:history="1">
        <w:r w:rsidR="0064116D" w:rsidRPr="0064116D">
          <w:rPr>
            <w:rStyle w:val="Hyperlink"/>
            <w:shd w:val="clear" w:color="auto" w:fill="FFFFFF"/>
          </w:rPr>
          <w:t>Eiropas Parlamenta un Padomes 2011. gada 6. jūlija Regul</w:t>
        </w:r>
        <w:r w:rsidR="005A2622">
          <w:rPr>
            <w:rStyle w:val="Hyperlink"/>
            <w:shd w:val="clear" w:color="auto" w:fill="FFFFFF"/>
          </w:rPr>
          <w:t>u</w:t>
        </w:r>
        <w:r w:rsidR="0064116D" w:rsidRPr="0064116D">
          <w:rPr>
            <w:rStyle w:val="Hyperlink"/>
            <w:shd w:val="clear" w:color="auto" w:fill="FFFFFF"/>
          </w:rPr>
          <w:t xml:space="preserve"> (ES) Nr. 692/2011</w:t>
        </w:r>
      </w:hyperlink>
      <w:r w:rsidR="0064116D">
        <w:rPr>
          <w:shd w:val="clear" w:color="auto" w:fill="FFFFFF"/>
        </w:rPr>
        <w:t xml:space="preserve"> a</w:t>
      </w:r>
      <w:r w:rsidR="0064116D" w:rsidRPr="0064116D">
        <w:rPr>
          <w:shd w:val="clear" w:color="auto" w:fill="FFFFFF"/>
        </w:rPr>
        <w:t xml:space="preserve">ttiecībā uz Eiropas statistiku par tūrismu un ar ko atceļ Padomes Direktīvu </w:t>
      </w:r>
      <w:r w:rsidR="0064116D" w:rsidRPr="00540D50">
        <w:t>95/57/EK (Dokuments attiecas uz EEZ)</w:t>
      </w:r>
      <w:r w:rsidR="00C60600">
        <w:t>;</w:t>
      </w:r>
    </w:p>
    <w:p w14:paraId="66BE776F" w14:textId="4F91DE6F" w:rsidR="00796D49" w:rsidRPr="00540D50" w:rsidRDefault="002130EC" w:rsidP="00540D50">
      <w:pPr>
        <w:pStyle w:val="NoSpacing"/>
      </w:pPr>
      <w:hyperlink r:id="rId9" w:history="1">
        <w:r w:rsidR="00796D49" w:rsidRPr="00540D50">
          <w:rPr>
            <w:rStyle w:val="Hyperlink"/>
          </w:rPr>
          <w:t xml:space="preserve">Komisijas </w:t>
        </w:r>
        <w:r w:rsidR="00540D50" w:rsidRPr="00540D50">
          <w:rPr>
            <w:rStyle w:val="Hyperlink"/>
          </w:rPr>
          <w:t xml:space="preserve">2011. gada 20. oktobra </w:t>
        </w:r>
        <w:r w:rsidR="005A2622">
          <w:rPr>
            <w:rStyle w:val="Hyperlink"/>
          </w:rPr>
          <w:t>Ī</w:t>
        </w:r>
        <w:r w:rsidR="00796D49" w:rsidRPr="00540D50">
          <w:rPr>
            <w:rStyle w:val="Hyperlink"/>
          </w:rPr>
          <w:t xml:space="preserve">stenošanas </w:t>
        </w:r>
        <w:r w:rsidR="005A2622">
          <w:rPr>
            <w:rStyle w:val="Hyperlink"/>
          </w:rPr>
          <w:t>R</w:t>
        </w:r>
        <w:r w:rsidR="00796D49" w:rsidRPr="00540D50">
          <w:rPr>
            <w:rStyle w:val="Hyperlink"/>
          </w:rPr>
          <w:t>egul</w:t>
        </w:r>
        <w:r w:rsidR="005A2622">
          <w:rPr>
            <w:rStyle w:val="Hyperlink"/>
          </w:rPr>
          <w:t>u</w:t>
        </w:r>
        <w:r w:rsidR="00796D49" w:rsidRPr="00540D50">
          <w:rPr>
            <w:rStyle w:val="Hyperlink"/>
          </w:rPr>
          <w:t xml:space="preserve"> (ES) Nr.</w:t>
        </w:r>
        <w:r w:rsidR="00540D50" w:rsidRPr="00540D50">
          <w:rPr>
            <w:rStyle w:val="Hyperlink"/>
          </w:rPr>
          <w:t> </w:t>
        </w:r>
        <w:r w:rsidR="00796D49" w:rsidRPr="00540D50">
          <w:rPr>
            <w:rStyle w:val="Hyperlink"/>
          </w:rPr>
          <w:t>1051/201</w:t>
        </w:r>
        <w:r w:rsidR="00540D50" w:rsidRPr="00540D50">
          <w:rPr>
            <w:rStyle w:val="Hyperlink"/>
          </w:rPr>
          <w:t>1</w:t>
        </w:r>
      </w:hyperlink>
      <w:r w:rsidR="00796D49" w:rsidRPr="00540D50">
        <w:t>, ar ko attiecībā uz kvalitātes ziņojumu struktūru un datu nosūtīšanu īsteno Eiropas Parlamenta un Padomes Regulu (ES) Nr.</w:t>
      </w:r>
      <w:r w:rsidR="00540D50">
        <w:t> </w:t>
      </w:r>
      <w:r w:rsidR="00796D49" w:rsidRPr="00540D50">
        <w:t>692/2011 attiecībā uz Eiropas statistiku par tūrismu</w:t>
      </w:r>
      <w:r w:rsidR="00C60600">
        <w:t>;</w:t>
      </w:r>
    </w:p>
    <w:p w14:paraId="7D042351" w14:textId="322A18F9" w:rsidR="00796D49" w:rsidRPr="00540D50" w:rsidRDefault="002130EC" w:rsidP="00540D50">
      <w:pPr>
        <w:pStyle w:val="NoSpacing"/>
      </w:pPr>
      <w:hyperlink r:id="rId10" w:history="1">
        <w:r w:rsidR="00796D49" w:rsidRPr="00540D50">
          <w:rPr>
            <w:rStyle w:val="Hyperlink"/>
          </w:rPr>
          <w:t xml:space="preserve">Komisijas </w:t>
        </w:r>
        <w:r w:rsidR="00540D50" w:rsidRPr="00540D50">
          <w:rPr>
            <w:rStyle w:val="Hyperlink"/>
          </w:rPr>
          <w:t xml:space="preserve">2019. gada 1. augusta </w:t>
        </w:r>
        <w:r w:rsidR="005A2622">
          <w:rPr>
            <w:rStyle w:val="Hyperlink"/>
          </w:rPr>
          <w:t>D</w:t>
        </w:r>
        <w:r w:rsidR="00796D49" w:rsidRPr="00540D50">
          <w:rPr>
            <w:rStyle w:val="Hyperlink"/>
          </w:rPr>
          <w:t>eleģēt</w:t>
        </w:r>
        <w:r w:rsidR="005A2622">
          <w:rPr>
            <w:rStyle w:val="Hyperlink"/>
          </w:rPr>
          <w:t>o</w:t>
        </w:r>
        <w:r w:rsidR="00796D49" w:rsidRPr="00540D50">
          <w:rPr>
            <w:rStyle w:val="Hyperlink"/>
          </w:rPr>
          <w:t xml:space="preserve"> </w:t>
        </w:r>
        <w:r w:rsidR="005A2622">
          <w:rPr>
            <w:rStyle w:val="Hyperlink"/>
          </w:rPr>
          <w:t>R</w:t>
        </w:r>
        <w:r w:rsidR="00796D49" w:rsidRPr="00540D50">
          <w:rPr>
            <w:rStyle w:val="Hyperlink"/>
          </w:rPr>
          <w:t>egul</w:t>
        </w:r>
        <w:r w:rsidR="005A2622">
          <w:rPr>
            <w:rStyle w:val="Hyperlink"/>
          </w:rPr>
          <w:t>u</w:t>
        </w:r>
        <w:r w:rsidR="00796D49" w:rsidRPr="00540D50">
          <w:rPr>
            <w:rStyle w:val="Hyperlink"/>
          </w:rPr>
          <w:t xml:space="preserve"> (ES) </w:t>
        </w:r>
        <w:r w:rsidR="00540D50" w:rsidRPr="00540D50">
          <w:rPr>
            <w:rStyle w:val="Hyperlink"/>
          </w:rPr>
          <w:t>Nr. </w:t>
        </w:r>
        <w:r w:rsidR="00796D49" w:rsidRPr="00540D50">
          <w:rPr>
            <w:rStyle w:val="Hyperlink"/>
          </w:rPr>
          <w:t>2019/1681</w:t>
        </w:r>
      </w:hyperlink>
      <w:r w:rsidR="00796D49" w:rsidRPr="00540D50">
        <w:t>, ar ko attiecībā uz nosūtīšanas termiņiem un I un II pielikuma pielāgošanu groza Eiropas Parlamenta un Padomes Regulu (ES) Nr. 692/2011 attiecībā uz Eiropas statistiku par tūrismu</w:t>
      </w:r>
      <w:r w:rsidR="00C60600">
        <w:t>;</w:t>
      </w:r>
    </w:p>
    <w:p w14:paraId="497471F9" w14:textId="7C1A5482" w:rsidR="00796D49" w:rsidRDefault="002130EC" w:rsidP="00540D50">
      <w:pPr>
        <w:pStyle w:val="NoSpacing"/>
      </w:pPr>
      <w:hyperlink r:id="rId11" w:history="1">
        <w:r w:rsidR="00796D49" w:rsidRPr="00540D50">
          <w:rPr>
            <w:rStyle w:val="Hyperlink"/>
          </w:rPr>
          <w:t xml:space="preserve">Komisijas </w:t>
        </w:r>
        <w:r w:rsidR="00540D50" w:rsidRPr="00540D50">
          <w:rPr>
            <w:rStyle w:val="Hyperlink"/>
          </w:rPr>
          <w:t xml:space="preserve">2020. gada 23. jūlija </w:t>
        </w:r>
        <w:r w:rsidR="00796D49" w:rsidRPr="00540D50">
          <w:rPr>
            <w:rStyle w:val="Hyperlink"/>
          </w:rPr>
          <w:t>Deleģēt</w:t>
        </w:r>
        <w:r w:rsidR="005A2622">
          <w:rPr>
            <w:rStyle w:val="Hyperlink"/>
          </w:rPr>
          <w:t>o</w:t>
        </w:r>
        <w:r w:rsidR="00796D49" w:rsidRPr="00540D50">
          <w:rPr>
            <w:rStyle w:val="Hyperlink"/>
          </w:rPr>
          <w:t xml:space="preserve"> </w:t>
        </w:r>
        <w:r w:rsidR="005A2622">
          <w:rPr>
            <w:rStyle w:val="Hyperlink"/>
          </w:rPr>
          <w:t>R</w:t>
        </w:r>
        <w:r w:rsidR="00796D49" w:rsidRPr="00540D50">
          <w:rPr>
            <w:rStyle w:val="Hyperlink"/>
          </w:rPr>
          <w:t>egul</w:t>
        </w:r>
        <w:r w:rsidR="005A2622">
          <w:rPr>
            <w:rStyle w:val="Hyperlink"/>
          </w:rPr>
          <w:t>u</w:t>
        </w:r>
        <w:r w:rsidR="00796D49" w:rsidRPr="00540D50">
          <w:rPr>
            <w:rStyle w:val="Hyperlink"/>
          </w:rPr>
          <w:t xml:space="preserve"> (ES) </w:t>
        </w:r>
        <w:r w:rsidR="00540D50" w:rsidRPr="00540D50">
          <w:rPr>
            <w:rStyle w:val="Hyperlink"/>
          </w:rPr>
          <w:t>Nr. </w:t>
        </w:r>
        <w:r w:rsidR="00796D49" w:rsidRPr="00540D50">
          <w:rPr>
            <w:rStyle w:val="Hyperlink"/>
          </w:rPr>
          <w:t>2020/1569</w:t>
        </w:r>
      </w:hyperlink>
      <w:r w:rsidR="00796D49" w:rsidRPr="00540D50">
        <w:t>, ar ko saistībā ar Apvienotās Karalistes izstāšanos no Savienības attiecībā uz to viesu dzīvesvietas</w:t>
      </w:r>
      <w:r w:rsidR="00796D49" w:rsidRPr="00540D50">
        <w:rPr>
          <w:shd w:val="clear" w:color="auto" w:fill="FFFFFF"/>
        </w:rPr>
        <w:t xml:space="preserve"> valstu klasifikāciju, kuri uzturas tūristu izmitināšanas uzņēmumos, groza Eiropas Parlamenta un Padomes Regulas (ES) Nr. 692/2011 I pielikumu</w:t>
      </w:r>
      <w:r w:rsidR="00C60600">
        <w:rPr>
          <w:shd w:val="clear" w:color="auto" w:fill="FFFFFF"/>
        </w:rPr>
        <w:t>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3" w:name="_Toc70071549"/>
      <w:r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12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02A48166" w:rsidR="00381049" w:rsidRDefault="0064116D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5" w:name="_Toc70071551"/>
      <w:r>
        <w:t>Kam ir jāiesniedz dati?</w:t>
      </w:r>
      <w:bookmarkEnd w:id="5"/>
    </w:p>
    <w:p w14:paraId="49573D1C" w14:textId="3A72C20E" w:rsidR="00796D49" w:rsidRDefault="00E433D6" w:rsidP="004652B7">
      <w:r>
        <w:t>Ap</w:t>
      </w:r>
      <w:r w:rsidR="00540D50">
        <w:t>se</w:t>
      </w:r>
      <w:r>
        <w:t>kojumā iekļauj e</w:t>
      </w:r>
      <w:r w:rsidR="00796D49" w:rsidRPr="004C277C">
        <w:t>konomiski aktīv</w:t>
      </w:r>
      <w:r>
        <w:t>os</w:t>
      </w:r>
      <w:r w:rsidR="00796D49" w:rsidRPr="004C277C">
        <w:t xml:space="preserve"> individuāl</w:t>
      </w:r>
      <w:r>
        <w:t>os</w:t>
      </w:r>
      <w:r w:rsidR="00796D49" w:rsidRPr="004C277C">
        <w:t xml:space="preserve"> komersant</w:t>
      </w:r>
      <w:r>
        <w:t>u</w:t>
      </w:r>
      <w:r w:rsidR="002130EC">
        <w:t>s</w:t>
      </w:r>
      <w:r w:rsidR="00796D49" w:rsidRPr="004C277C">
        <w:t xml:space="preserve"> un komercsabiedrības, kuru pamatdarbības nozare NACE 2.red </w:t>
      </w:r>
      <w:r w:rsidR="002130EC">
        <w:t xml:space="preserve">un </w:t>
      </w:r>
      <w:r w:rsidR="002130EC" w:rsidRPr="004C277C">
        <w:t>2.</w:t>
      </w:r>
      <w:r w:rsidR="002130EC">
        <w:t>1.</w:t>
      </w:r>
      <w:r w:rsidR="002130EC" w:rsidRPr="004C277C">
        <w:t xml:space="preserve">red </w:t>
      </w:r>
      <w:r w:rsidR="00796D49" w:rsidRPr="004C277C">
        <w:t>ir 5510, 5520, 5530 un pārēj</w:t>
      </w:r>
      <w:r>
        <w:t>os</w:t>
      </w:r>
      <w:r w:rsidR="00796D49" w:rsidRPr="004C277C">
        <w:t xml:space="preserve"> komersant</w:t>
      </w:r>
      <w:r>
        <w:t>us</w:t>
      </w:r>
      <w:r w:rsidR="00796D49" w:rsidRPr="004C277C">
        <w:t>, budžeta iestādes, biedrības, zemnieku saimniecības un privātpersonas, kas sniedz īstermiņa izmitināšanas pakalpojumus tūristu mītnē (arī papildus savai citas nozares pamatdarbībai)</w:t>
      </w:r>
    </w:p>
    <w:p w14:paraId="78546021" w14:textId="7BED75AE" w:rsidR="00C60600" w:rsidRDefault="00C60600" w:rsidP="004652B7">
      <w:r>
        <w:t>Izlases veidošanas standarts:</w:t>
      </w:r>
    </w:p>
    <w:p w14:paraId="5FC88653" w14:textId="6162F1C8" w:rsidR="00C908F1" w:rsidRDefault="00C60600" w:rsidP="00C60600">
      <w:pPr>
        <w:pStyle w:val="NoSpacing"/>
      </w:pPr>
      <w:bookmarkStart w:id="6" w:name="_Hlk73618850"/>
      <w:r w:rsidRPr="00A611D9">
        <w:t xml:space="preserve">Izlases apjoms un tajā ietveramās nozares izriet no </w:t>
      </w:r>
      <w:hyperlink r:id="rId13" w:history="1">
        <w:r w:rsidRPr="00A611D9">
          <w:rPr>
            <w:rStyle w:val="Hyperlink"/>
          </w:rPr>
          <w:t>Ministru kabineta 2016. gada 20. decembra noteikumiem Nr. 812</w:t>
        </w:r>
      </w:hyperlink>
      <w:r w:rsidRPr="00A611D9">
        <w:t xml:space="preserve"> ”Oficiālās statistikas veidlapu paraugu apstiprināšanas un veidlapu aizpildīšanas un iesniegšanas noteikumi”.</w:t>
      </w:r>
      <w:bookmarkEnd w:id="6"/>
    </w:p>
    <w:p w14:paraId="2BE27095" w14:textId="77777777" w:rsidR="00C908F1" w:rsidRDefault="00C908F1">
      <w:pPr>
        <w:spacing w:before="0" w:after="160"/>
        <w:ind w:left="0"/>
        <w:jc w:val="left"/>
      </w:pPr>
      <w:r>
        <w:br w:type="page"/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7" w:name="_Toc70071552"/>
      <w:r>
        <w:lastRenderedPageBreak/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7"/>
    </w:p>
    <w:p w14:paraId="062A0699" w14:textId="6DFE83ED" w:rsidR="00B84375" w:rsidRPr="00B84375" w:rsidRDefault="0064116D" w:rsidP="00B84375">
      <w:pPr>
        <w:pStyle w:val="NoSpacing"/>
      </w:pPr>
      <w:bookmarkStart w:id="8" w:name="_Toc40698654"/>
      <w:r>
        <w:t>Oficiālās statistikas portālā</w:t>
      </w:r>
      <w:r w:rsidR="00B84375">
        <w:t xml:space="preserve"> - </w:t>
      </w:r>
      <w:hyperlink r:id="rId14" w:history="1">
        <w:r w:rsidR="00B84375" w:rsidRPr="00B84375">
          <w:rPr>
            <w:rStyle w:val="Hyperlink"/>
          </w:rPr>
          <w:t xml:space="preserve">Viesnīcas </w:t>
        </w:r>
        <w:r w:rsidR="00B84375" w:rsidRPr="00B84375">
          <w:rPr>
            <w:rStyle w:val="Hyperlink"/>
          </w:rPr>
          <w:t>(</w:t>
        </w:r>
        <w:r w:rsidR="00B84375" w:rsidRPr="00B84375">
          <w:rPr>
            <w:rStyle w:val="Hyperlink"/>
          </w:rPr>
          <w:t>izmitināšana)</w:t>
        </w:r>
      </w:hyperlink>
    </w:p>
    <w:p w14:paraId="3DF870FD" w14:textId="4191B0EE" w:rsidR="00301BEB" w:rsidRPr="00B84375" w:rsidRDefault="00B84375" w:rsidP="00B84375">
      <w:pPr>
        <w:pStyle w:val="NoSpacing"/>
        <w:rPr>
          <w:rStyle w:val="Hyperlink"/>
          <w:color w:val="auto"/>
        </w:rPr>
      </w:pPr>
      <w:r w:rsidRPr="00BC5AFB">
        <w:rPr>
          <w:szCs w:val="20"/>
        </w:rPr>
        <w:t>Eiropas Savienības Statistikas biroja (Eurostat)</w:t>
      </w:r>
      <w:r w:rsidRPr="00BC5AFB">
        <w:rPr>
          <w:sz w:val="18"/>
          <w:szCs w:val="18"/>
        </w:rPr>
        <w:t xml:space="preserve"> </w:t>
      </w:r>
      <w:hyperlink r:id="rId15" w:history="1">
        <w:r w:rsidRPr="00BC5AFB">
          <w:rPr>
            <w:rStyle w:val="Hyperlink"/>
            <w:szCs w:val="20"/>
          </w:rPr>
          <w:t>datu</w:t>
        </w:r>
        <w:r w:rsidRPr="00BC5AFB">
          <w:rPr>
            <w:rStyle w:val="Hyperlink"/>
            <w:szCs w:val="20"/>
          </w:rPr>
          <w:t>b</w:t>
        </w:r>
        <w:r w:rsidRPr="00BC5AFB">
          <w:rPr>
            <w:rStyle w:val="Hyperlink"/>
            <w:szCs w:val="20"/>
          </w:rPr>
          <w:t>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9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8"/>
      <w:r>
        <w:t>?</w:t>
      </w:r>
      <w:bookmarkEnd w:id="9"/>
    </w:p>
    <w:p w14:paraId="260E9774" w14:textId="6EC53ADB" w:rsidR="0064116D" w:rsidRDefault="002130EC" w:rsidP="0064116D">
      <w:pPr>
        <w:pStyle w:val="NoSpacing"/>
        <w:rPr>
          <w:rStyle w:val="Hyperlink"/>
          <w:color w:val="000000" w:themeColor="text1"/>
        </w:rPr>
      </w:pPr>
      <w:hyperlink r:id="rId16" w:history="1">
        <w:r w:rsidR="0064116D">
          <w:rPr>
            <w:rStyle w:val="Hyperlink"/>
            <w:bCs/>
            <w:szCs w:val="20"/>
          </w:rPr>
          <w:t>Ekonomikas ministrija</w:t>
        </w:r>
      </w:hyperlink>
    </w:p>
    <w:p w14:paraId="18D50BD1" w14:textId="7A276448" w:rsidR="0064116D" w:rsidRDefault="002130EC" w:rsidP="0064116D">
      <w:pPr>
        <w:pStyle w:val="NoSpacing"/>
      </w:pPr>
      <w:hyperlink r:id="rId17" w:history="1">
        <w:r w:rsidR="0064116D">
          <w:rPr>
            <w:rStyle w:val="Hyperlink"/>
            <w:bCs/>
            <w:szCs w:val="20"/>
          </w:rPr>
          <w:t>Ārlietu ministrija</w:t>
        </w:r>
      </w:hyperlink>
    </w:p>
    <w:p w14:paraId="3CB4F6A1" w14:textId="40332020" w:rsidR="00381049" w:rsidRPr="00B84375" w:rsidRDefault="0064116D" w:rsidP="0064116D">
      <w:pPr>
        <w:pStyle w:val="NoSpacing"/>
        <w:rPr>
          <w:b/>
        </w:rPr>
      </w:pPr>
      <w:r>
        <w:t>Pasaules Tūrisma organizācija ANO (</w:t>
      </w:r>
      <w:hyperlink r:id="rId18" w:history="1">
        <w:r>
          <w:rPr>
            <w:rStyle w:val="Hyperlink"/>
            <w:rFonts w:cs="Times New Roman"/>
            <w:bCs/>
            <w:szCs w:val="20"/>
          </w:rPr>
          <w:t>UNWTO</w:t>
        </w:r>
      </w:hyperlink>
      <w:r>
        <w:t>)</w:t>
      </w:r>
    </w:p>
    <w:p w14:paraId="08A68B07" w14:textId="6C92D2EC" w:rsidR="00B84375" w:rsidRPr="00B84375" w:rsidRDefault="00B84375" w:rsidP="00B84375">
      <w:pPr>
        <w:pStyle w:val="NoSpacing"/>
        <w:rPr>
          <w:sz w:val="18"/>
          <w:szCs w:val="20"/>
        </w:rPr>
      </w:pPr>
      <w:r w:rsidRPr="00BC5AFB">
        <w:rPr>
          <w:szCs w:val="20"/>
        </w:rPr>
        <w:t>Ekonomiskās sadarbības un attīstības organizācija (</w:t>
      </w:r>
      <w:hyperlink r:id="rId19" w:history="1">
        <w:r w:rsidRPr="00BC5AFB">
          <w:rPr>
            <w:rStyle w:val="Hyperlink"/>
            <w:szCs w:val="20"/>
          </w:rPr>
          <w:t>OECD</w:t>
        </w:r>
      </w:hyperlink>
      <w:r w:rsidRPr="00BC5AFB">
        <w:rPr>
          <w:szCs w:val="20"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0" w:name="_Toc70071554"/>
      <w:r>
        <w:t>Vai Pārvalde ievēro d</w:t>
      </w:r>
      <w:r w:rsidR="00CB2A49" w:rsidRPr="00C13E38">
        <w:t>atu konfidencialitāt</w:t>
      </w:r>
      <w:r>
        <w:t>i?</w:t>
      </w:r>
      <w:bookmarkEnd w:id="10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1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1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20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1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71.25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40756E"/>
    <w:multiLevelType w:val="hybridMultilevel"/>
    <w:tmpl w:val="94089678"/>
    <w:lvl w:ilvl="0" w:tplc="334A0C62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BBDA2804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BA070C5"/>
    <w:multiLevelType w:val="hybridMultilevel"/>
    <w:tmpl w:val="186408DC"/>
    <w:lvl w:ilvl="0" w:tplc="7C2AD846">
      <w:numFmt w:val="bullet"/>
      <w:lvlText w:val=""/>
      <w:lvlJc w:val="left"/>
      <w:pPr>
        <w:ind w:left="242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96B2F"/>
    <w:multiLevelType w:val="hybridMultilevel"/>
    <w:tmpl w:val="4F6683CE"/>
    <w:lvl w:ilvl="0" w:tplc="DB46C2B6">
      <w:numFmt w:val="bullet"/>
      <w:lvlText w:val=""/>
      <w:lvlJc w:val="left"/>
      <w:pPr>
        <w:ind w:left="33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99"/>
        <w:w w:val="100"/>
        <w:sz w:val="20"/>
        <w:szCs w:val="20"/>
        <w:lang w:val="lv-LV" w:eastAsia="en-US" w:bidi="ar-SA"/>
      </w:rPr>
    </w:lvl>
    <w:lvl w:ilvl="1" w:tplc="46AC9C4E">
      <w:numFmt w:val="bullet"/>
      <w:lvlText w:val=""/>
      <w:lvlJc w:val="left"/>
      <w:pPr>
        <w:ind w:left="40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99"/>
        <w:w w:val="100"/>
        <w:sz w:val="20"/>
        <w:szCs w:val="20"/>
        <w:lang w:val="lv-LV" w:eastAsia="en-US" w:bidi="ar-SA"/>
      </w:rPr>
    </w:lvl>
    <w:lvl w:ilvl="2" w:tplc="DAE635DA">
      <w:numFmt w:val="bullet"/>
      <w:lvlText w:val="•"/>
      <w:lvlJc w:val="left"/>
      <w:pPr>
        <w:ind w:left="4911" w:hanging="360"/>
      </w:pPr>
      <w:rPr>
        <w:rFonts w:hint="default"/>
        <w:lang w:val="lv-LV" w:eastAsia="en-US" w:bidi="ar-SA"/>
      </w:rPr>
    </w:lvl>
    <w:lvl w:ilvl="3" w:tplc="4DD09C1C">
      <w:numFmt w:val="bullet"/>
      <w:lvlText w:val="•"/>
      <w:lvlJc w:val="left"/>
      <w:pPr>
        <w:ind w:left="5743" w:hanging="360"/>
      </w:pPr>
      <w:rPr>
        <w:rFonts w:hint="default"/>
        <w:lang w:val="lv-LV" w:eastAsia="en-US" w:bidi="ar-SA"/>
      </w:rPr>
    </w:lvl>
    <w:lvl w:ilvl="4" w:tplc="7B9472D8">
      <w:numFmt w:val="bullet"/>
      <w:lvlText w:val="•"/>
      <w:lvlJc w:val="left"/>
      <w:pPr>
        <w:ind w:left="6574" w:hanging="360"/>
      </w:pPr>
      <w:rPr>
        <w:rFonts w:hint="default"/>
        <w:lang w:val="lv-LV" w:eastAsia="en-US" w:bidi="ar-SA"/>
      </w:rPr>
    </w:lvl>
    <w:lvl w:ilvl="5" w:tplc="677EBE54">
      <w:numFmt w:val="bullet"/>
      <w:lvlText w:val="•"/>
      <w:lvlJc w:val="left"/>
      <w:pPr>
        <w:ind w:left="7406" w:hanging="360"/>
      </w:pPr>
      <w:rPr>
        <w:rFonts w:hint="default"/>
        <w:lang w:val="lv-LV" w:eastAsia="en-US" w:bidi="ar-SA"/>
      </w:rPr>
    </w:lvl>
    <w:lvl w:ilvl="6" w:tplc="51D4B8CC">
      <w:numFmt w:val="bullet"/>
      <w:lvlText w:val="•"/>
      <w:lvlJc w:val="left"/>
      <w:pPr>
        <w:ind w:left="8237" w:hanging="360"/>
      </w:pPr>
      <w:rPr>
        <w:rFonts w:hint="default"/>
        <w:lang w:val="lv-LV" w:eastAsia="en-US" w:bidi="ar-SA"/>
      </w:rPr>
    </w:lvl>
    <w:lvl w:ilvl="7" w:tplc="20081CDE">
      <w:numFmt w:val="bullet"/>
      <w:lvlText w:val="•"/>
      <w:lvlJc w:val="left"/>
      <w:pPr>
        <w:ind w:left="9069" w:hanging="360"/>
      </w:pPr>
      <w:rPr>
        <w:rFonts w:hint="default"/>
        <w:lang w:val="lv-LV" w:eastAsia="en-US" w:bidi="ar-SA"/>
      </w:rPr>
    </w:lvl>
    <w:lvl w:ilvl="8" w:tplc="B2C4B168">
      <w:numFmt w:val="bullet"/>
      <w:lvlText w:val="•"/>
      <w:lvlJc w:val="left"/>
      <w:pPr>
        <w:ind w:left="9900" w:hanging="360"/>
      </w:pPr>
      <w:rPr>
        <w:rFonts w:hint="default"/>
        <w:lang w:val="lv-LV" w:eastAsia="en-US" w:bidi="ar-SA"/>
      </w:rPr>
    </w:lvl>
  </w:abstractNum>
  <w:abstractNum w:abstractNumId="26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0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68267884">
    <w:abstractNumId w:val="15"/>
  </w:num>
  <w:num w:numId="2" w16cid:durableId="890724491">
    <w:abstractNumId w:val="29"/>
  </w:num>
  <w:num w:numId="3" w16cid:durableId="1239553204">
    <w:abstractNumId w:val="19"/>
  </w:num>
  <w:num w:numId="4" w16cid:durableId="1854565360">
    <w:abstractNumId w:val="21"/>
  </w:num>
  <w:num w:numId="5" w16cid:durableId="2137217150">
    <w:abstractNumId w:val="30"/>
  </w:num>
  <w:num w:numId="6" w16cid:durableId="818615498">
    <w:abstractNumId w:val="28"/>
  </w:num>
  <w:num w:numId="7" w16cid:durableId="622346334">
    <w:abstractNumId w:val="15"/>
  </w:num>
  <w:num w:numId="8" w16cid:durableId="348876485">
    <w:abstractNumId w:val="15"/>
  </w:num>
  <w:num w:numId="9" w16cid:durableId="1555240401">
    <w:abstractNumId w:val="15"/>
  </w:num>
  <w:num w:numId="10" w16cid:durableId="1853034110">
    <w:abstractNumId w:val="15"/>
  </w:num>
  <w:num w:numId="11" w16cid:durableId="1272127926">
    <w:abstractNumId w:val="0"/>
  </w:num>
  <w:num w:numId="12" w16cid:durableId="698628117">
    <w:abstractNumId w:val="19"/>
  </w:num>
  <w:num w:numId="13" w16cid:durableId="264266159">
    <w:abstractNumId w:val="9"/>
  </w:num>
  <w:num w:numId="14" w16cid:durableId="2064015965">
    <w:abstractNumId w:val="4"/>
  </w:num>
  <w:num w:numId="15" w16cid:durableId="826895592">
    <w:abstractNumId w:val="17"/>
  </w:num>
  <w:num w:numId="16" w16cid:durableId="829562479">
    <w:abstractNumId w:val="2"/>
  </w:num>
  <w:num w:numId="17" w16cid:durableId="1880438030">
    <w:abstractNumId w:val="21"/>
  </w:num>
  <w:num w:numId="18" w16cid:durableId="43258726">
    <w:abstractNumId w:val="21"/>
  </w:num>
  <w:num w:numId="19" w16cid:durableId="1811559437">
    <w:abstractNumId w:val="7"/>
  </w:num>
  <w:num w:numId="20" w16cid:durableId="1528518691">
    <w:abstractNumId w:val="31"/>
  </w:num>
  <w:num w:numId="21" w16cid:durableId="1343707629">
    <w:abstractNumId w:val="8"/>
  </w:num>
  <w:num w:numId="22" w16cid:durableId="743449450">
    <w:abstractNumId w:val="22"/>
  </w:num>
  <w:num w:numId="23" w16cid:durableId="241721392">
    <w:abstractNumId w:val="3"/>
  </w:num>
  <w:num w:numId="24" w16cid:durableId="2010400731">
    <w:abstractNumId w:val="6"/>
  </w:num>
  <w:num w:numId="25" w16cid:durableId="448359846">
    <w:abstractNumId w:val="1"/>
  </w:num>
  <w:num w:numId="26" w16cid:durableId="2018337559">
    <w:abstractNumId w:val="26"/>
  </w:num>
  <w:num w:numId="27" w16cid:durableId="401679618">
    <w:abstractNumId w:val="16"/>
  </w:num>
  <w:num w:numId="28" w16cid:durableId="1595170354">
    <w:abstractNumId w:val="5"/>
  </w:num>
  <w:num w:numId="29" w16cid:durableId="968513364">
    <w:abstractNumId w:val="14"/>
  </w:num>
  <w:num w:numId="30" w16cid:durableId="1582058935">
    <w:abstractNumId w:val="23"/>
  </w:num>
  <w:num w:numId="31" w16cid:durableId="774058155">
    <w:abstractNumId w:val="24"/>
  </w:num>
  <w:num w:numId="32" w16cid:durableId="885943895">
    <w:abstractNumId w:val="12"/>
  </w:num>
  <w:num w:numId="33" w16cid:durableId="1140072501">
    <w:abstractNumId w:val="27"/>
  </w:num>
  <w:num w:numId="34" w16cid:durableId="1651010653">
    <w:abstractNumId w:val="18"/>
  </w:num>
  <w:num w:numId="35" w16cid:durableId="1156071277">
    <w:abstractNumId w:val="10"/>
  </w:num>
  <w:num w:numId="36" w16cid:durableId="1623922771">
    <w:abstractNumId w:val="11"/>
  </w:num>
  <w:num w:numId="37" w16cid:durableId="1644196063">
    <w:abstractNumId w:val="20"/>
  </w:num>
  <w:num w:numId="38" w16cid:durableId="641350894">
    <w:abstractNumId w:val="13"/>
  </w:num>
  <w:num w:numId="39" w16cid:durableId="1618756559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4E4C"/>
    <w:rsid w:val="001D5F49"/>
    <w:rsid w:val="001E7D4C"/>
    <w:rsid w:val="001F09D2"/>
    <w:rsid w:val="001F18B1"/>
    <w:rsid w:val="001F29F5"/>
    <w:rsid w:val="001F6F0A"/>
    <w:rsid w:val="0020368F"/>
    <w:rsid w:val="002130EC"/>
    <w:rsid w:val="00214288"/>
    <w:rsid w:val="002148CE"/>
    <w:rsid w:val="00224592"/>
    <w:rsid w:val="00236B6C"/>
    <w:rsid w:val="00236E45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1BEB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5395"/>
    <w:rsid w:val="00507C48"/>
    <w:rsid w:val="005128D7"/>
    <w:rsid w:val="0051672D"/>
    <w:rsid w:val="00520182"/>
    <w:rsid w:val="00521EE7"/>
    <w:rsid w:val="00537B76"/>
    <w:rsid w:val="00540D50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A2622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0099D"/>
    <w:rsid w:val="00614F40"/>
    <w:rsid w:val="00622D1C"/>
    <w:rsid w:val="00626E48"/>
    <w:rsid w:val="00634FC5"/>
    <w:rsid w:val="006368C8"/>
    <w:rsid w:val="0064116D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5AF0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96D49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9F30F8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1DC7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84375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600"/>
    <w:rsid w:val="00C60FFE"/>
    <w:rsid w:val="00C6252D"/>
    <w:rsid w:val="00C71B34"/>
    <w:rsid w:val="00C723A5"/>
    <w:rsid w:val="00C74640"/>
    <w:rsid w:val="00C77FBD"/>
    <w:rsid w:val="00C86A8B"/>
    <w:rsid w:val="00C908F1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CF6DB3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B7B0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3D6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11R0692&amp;qid=1621591334068" TargetMode="External"/><Relationship Id="rId13" Type="http://schemas.openxmlformats.org/officeDocument/2006/relationships/hyperlink" Target="https://likumi.lv/ta/id/287576-oficialas-statistikas-veidlapu-paraugu-apstiprinasanas-un-veidlapu-aizpildisanas-un-iesniegsanas-noteikumi" TargetMode="External"/><Relationship Id="rId18" Type="http://schemas.openxmlformats.org/officeDocument/2006/relationships/hyperlink" Target="https://www.e-unwto.org/action/doSearch?ConceptID=2442&amp;target=topi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sp.gov.lv/lv/informacijas-drosiba-un-datu-aizsardziba" TargetMode="Externa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likumi.lv/ta/id/274749" TargetMode="External"/><Relationship Id="rId17" Type="http://schemas.openxmlformats.org/officeDocument/2006/relationships/hyperlink" Target="https://www.mfa.gov.l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.gov.lv/lv/nozares_politika/nacionala_industriala_politika/turisms/statistika_un_petijumi/" TargetMode="External"/><Relationship Id="rId20" Type="http://schemas.openxmlformats.org/officeDocument/2006/relationships/hyperlink" Target="https://eur-lex.europa.eu/legal-content/LV/TXT/?uri=celex%3A32016R067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ur-lex.europa.eu/legal-content/LV/TXT/?qid=1622632585072&amp;uri=CELEX%3A32020R15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eurostat/web/tourism/databas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legal-content/LV/TXT/?uri=CELEX%3A32019R1681&amp;qid=1622632482900" TargetMode="External"/><Relationship Id="rId19" Type="http://schemas.openxmlformats.org/officeDocument/2006/relationships/hyperlink" Target="https://www.oecd.org/cfe/tourism/tourism-statistic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11R1051&amp;qid=1622632416093" TargetMode="External"/><Relationship Id="rId14" Type="http://schemas.openxmlformats.org/officeDocument/2006/relationships/hyperlink" Target="https://data.stat.gov.lv/pxweb/lv/OSP_PUB/START__NOZ__TU__TUV/?tablelist=true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4692</Words>
  <Characters>2676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Ilze Kerus</cp:lastModifiedBy>
  <cp:revision>15</cp:revision>
  <cp:lastPrinted>2023-03-16T12:39:00Z</cp:lastPrinted>
  <dcterms:created xsi:type="dcterms:W3CDTF">2021-05-24T13:59:00Z</dcterms:created>
  <dcterms:modified xsi:type="dcterms:W3CDTF">2025-05-26T08:28:00Z</dcterms:modified>
</cp:coreProperties>
</file>