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1ADA90AE" w14:textId="77777777" w:rsidR="002171F4" w:rsidRDefault="002171F4" w:rsidP="002171F4">
      <w:pPr>
        <w:spacing w:before="0"/>
        <w:ind w:left="0"/>
        <w:jc w:val="left"/>
        <w:rPr>
          <w:rFonts w:cs="Open Sans"/>
          <w:sz w:val="26"/>
          <w:szCs w:val="26"/>
        </w:rPr>
      </w:pPr>
      <w:r>
        <w:rPr>
          <w:rFonts w:cs="Open Sans"/>
          <w:sz w:val="26"/>
          <w:szCs w:val="26"/>
        </w:rPr>
        <w:t xml:space="preserve">“Pārskats par naftas un naftas produktu transportēšanu” </w:t>
      </w:r>
    </w:p>
    <w:p w14:paraId="643A7780" w14:textId="4DED1AA8" w:rsidR="0051672D" w:rsidRPr="00883277" w:rsidRDefault="002171F4" w:rsidP="002171F4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(2-cauruļvadu transports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72217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72217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72217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72217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72217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72217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72217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72217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2AAD9711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="002B46ED" w:rsidRPr="002B46ED">
          <w:rPr>
            <w:rStyle w:val="Hyperlink"/>
          </w:rPr>
          <w:t>Oficiālās statistikas programmas</w:t>
        </w:r>
      </w:hyperlink>
      <w:r w:rsidR="002B46ED">
        <w:t xml:space="preserve"> </w:t>
      </w:r>
      <w:r w:rsidRPr="00CF6881">
        <w:t>pie</w:t>
      </w:r>
      <w:r w:rsidRPr="009404C8">
        <w:t>liku</w:t>
      </w:r>
      <w:r w:rsidRPr="002171F4">
        <w:t>ma 1.</w:t>
      </w:r>
      <w:r w:rsidR="00981005" w:rsidRPr="002171F4">
        <w:t> </w:t>
      </w:r>
      <w:r w:rsidRPr="002171F4">
        <w:t xml:space="preserve">punktā (Nacionālo kontu sistēma) un </w:t>
      </w:r>
      <w:r w:rsidR="002171F4" w:rsidRPr="002171F4">
        <w:rPr>
          <w:szCs w:val="20"/>
        </w:rPr>
        <w:t>24. punktā (Transporta statistika)</w:t>
      </w:r>
      <w:r w:rsidRPr="002171F4">
        <w:t>.</w:t>
      </w:r>
    </w:p>
    <w:p w14:paraId="72A32E49" w14:textId="2CCCCF39" w:rsidR="00381049" w:rsidRDefault="002171F4" w:rsidP="00214288">
      <w:pPr>
        <w:rPr>
          <w:bCs/>
          <w:color w:val="000000"/>
        </w:rPr>
      </w:pPr>
      <w:r>
        <w:t>Jūsu uzņēmuma dati tiek izmantoti, lai iegūtu statistisko informāciju par naftas produktu transportēšanas pa cauruļvadiem apjomu, kā arī iekšzemes kopprodukta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33E8FE88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2171F4">
        <w:t>o</w:t>
      </w:r>
      <w:r w:rsidRPr="00C13E38">
        <w:t xml:space="preserve"> </w:t>
      </w:r>
      <w:r w:rsidR="00322F85" w:rsidRPr="00C13E38">
        <w:t>tiesību aktu:</w:t>
      </w:r>
    </w:p>
    <w:p w14:paraId="276BD1E0" w14:textId="51ACB79B" w:rsidR="00156802" w:rsidRDefault="002171F4" w:rsidP="008A2572">
      <w:pPr>
        <w:pStyle w:val="NoSpacing"/>
        <w:numPr>
          <w:ilvl w:val="2"/>
          <w:numId w:val="26"/>
        </w:numPr>
      </w:pPr>
      <w:r>
        <w:t>Džentlmeņu vienošan</w:t>
      </w:r>
      <w:r w:rsidR="00F450FD">
        <w:t>os</w:t>
      </w:r>
      <w:r>
        <w:t xml:space="preserve"> ar Eiropas Savienības statistikas biroju (</w:t>
      </w:r>
      <w:r w:rsidR="00D02EF9">
        <w:t>Eurostat</w:t>
      </w:r>
      <w:r>
        <w:t>), Starptautisko transporta organizāciju (ITF) un Apvienoto Nāciju organizācijas Eiropas Ekonomikas komisiju (UNECE).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lastRenderedPageBreak/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26AD7758" w:rsidR="00381049" w:rsidRDefault="002171F4" w:rsidP="00CF0D9F">
      <w: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71539DD3" w14:textId="30EC4374" w:rsidR="00D20956" w:rsidRPr="00F33D0A" w:rsidRDefault="002171F4" w:rsidP="00CF0D9F">
      <w:r>
        <w:rPr>
          <w:rFonts w:cs="Open Sans"/>
        </w:rPr>
        <w:t xml:space="preserve">Apsekojumā iekļauj </w:t>
      </w:r>
      <w:r>
        <w:t>uzņēmumus, kas veic naftas produktu transportēšanu pa cauruļvadiem</w:t>
      </w:r>
      <w:r>
        <w:rPr>
          <w:rFonts w:cs="Times New Roman"/>
        </w:rPr>
        <w:t>.</w:t>
      </w:r>
    </w:p>
    <w:p w14:paraId="7213C3AB" w14:textId="77777777" w:rsidR="00221BBF" w:rsidRDefault="00F33D0A" w:rsidP="004652B7">
      <w:r w:rsidRPr="009E389F">
        <w:t xml:space="preserve">Izlases izveidošanas </w:t>
      </w:r>
      <w:r>
        <w:t>standarts</w:t>
      </w:r>
      <w:r w:rsidRPr="00654803">
        <w:t>:</w:t>
      </w:r>
    </w:p>
    <w:p w14:paraId="60F4269A" w14:textId="0FFCD8BF" w:rsidR="00F33D0A" w:rsidRPr="00C13E38" w:rsidRDefault="00654803" w:rsidP="00221BBF">
      <w:pPr>
        <w:pStyle w:val="NoSpacing"/>
      </w:pPr>
      <w:r w:rsidRPr="00654803">
        <w:t xml:space="preserve">Izlases apjoms un tajā ietveramās nozares izriet no </w:t>
      </w:r>
      <w:hyperlink r:id="rId9" w:history="1">
        <w:r w:rsidRPr="00654803">
          <w:rPr>
            <w:rStyle w:val="Hyperlink"/>
          </w:rPr>
          <w:t>Ministru kabineta 2016. gada 20. decembra noteikumiem Nr. 812</w:t>
        </w:r>
      </w:hyperlink>
      <w:r w:rsidRPr="00654803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6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6"/>
    </w:p>
    <w:p w14:paraId="55AA3E36" w14:textId="12357683" w:rsidR="002171F4" w:rsidRPr="002171F4" w:rsidRDefault="002171F4" w:rsidP="00405420">
      <w:pPr>
        <w:pStyle w:val="NoSpacing"/>
        <w:rPr>
          <w:rFonts w:cs="Times New Roman"/>
          <w:b/>
        </w:rPr>
      </w:pPr>
      <w:bookmarkStart w:id="7" w:name="_Toc40698654"/>
      <w:r>
        <w:t>Oficiālās statistikas portālā - dati par naftas produktu transportēšanas apjomu pa cauruļvadiem</w:t>
      </w:r>
      <w:r w:rsidRPr="002171F4">
        <w:rPr>
          <w:rFonts w:cs="Times New Roman"/>
        </w:rPr>
        <w:t>:</w:t>
      </w:r>
    </w:p>
    <w:p w14:paraId="7F21926D" w14:textId="2910C767" w:rsidR="002171F4" w:rsidRPr="002171F4" w:rsidRDefault="00722176" w:rsidP="002171F4">
      <w:pPr>
        <w:pStyle w:val="NoSpacing"/>
        <w:numPr>
          <w:ilvl w:val="1"/>
          <w:numId w:val="41"/>
        </w:numPr>
        <w:rPr>
          <w:rFonts w:cs="Times New Roman"/>
          <w:color w:val="000000"/>
          <w:szCs w:val="20"/>
        </w:rPr>
      </w:pPr>
      <w:hyperlink r:id="rId10" w:history="1">
        <w:r w:rsidR="002171F4" w:rsidRPr="002171F4">
          <w:rPr>
            <w:rStyle w:val="Hyperlink"/>
            <w:rFonts w:cs="Times New Roman"/>
            <w:szCs w:val="20"/>
          </w:rPr>
          <w:t>Ceturkšņa dati</w:t>
        </w:r>
      </w:hyperlink>
    </w:p>
    <w:p w14:paraId="45FB669E" w14:textId="523AF8A4" w:rsidR="002171F4" w:rsidRPr="00654803" w:rsidRDefault="00722176" w:rsidP="002171F4">
      <w:pPr>
        <w:pStyle w:val="NoSpacing"/>
        <w:numPr>
          <w:ilvl w:val="1"/>
          <w:numId w:val="41"/>
        </w:numPr>
        <w:rPr>
          <w:rStyle w:val="Hyperlink"/>
          <w:rFonts w:cs="Times New Roman"/>
          <w:szCs w:val="20"/>
        </w:rPr>
      </w:pPr>
      <w:hyperlink r:id="rId11" w:history="1">
        <w:r w:rsidR="002171F4" w:rsidRPr="002171F4">
          <w:rPr>
            <w:rStyle w:val="Hyperlink"/>
            <w:rFonts w:cs="Times New Roman"/>
            <w:szCs w:val="20"/>
          </w:rPr>
          <w:t>Gada dati</w:t>
        </w:r>
      </w:hyperlink>
    </w:p>
    <w:p w14:paraId="589CA186" w14:textId="2A0F17F5" w:rsidR="002171F4" w:rsidRPr="00AB7F5A" w:rsidRDefault="00AB7F5A" w:rsidP="00AB7F5A">
      <w:pPr>
        <w:pStyle w:val="NoSpacing"/>
        <w:rPr>
          <w:rFonts w:cs="Times New Roman"/>
          <w:szCs w:val="20"/>
        </w:rPr>
      </w:pPr>
      <w:bookmarkStart w:id="8" w:name="_Hlk51059132"/>
      <w:bookmarkStart w:id="9" w:name="_Hlk51059025"/>
      <w:r>
        <w:rPr>
          <w:rFonts w:cs="Verdana"/>
          <w:color w:val="000000"/>
          <w:szCs w:val="20"/>
        </w:rPr>
        <w:t>Eiropas Savienības Statistikas biroja (</w:t>
      </w:r>
      <w:proofErr w:type="spellStart"/>
      <w:r>
        <w:rPr>
          <w:rFonts w:cs="Verdana"/>
          <w:color w:val="000000"/>
          <w:szCs w:val="20"/>
        </w:rPr>
        <w:t>Eurostat</w:t>
      </w:r>
      <w:proofErr w:type="spellEnd"/>
      <w:r w:rsidRPr="00991254">
        <w:rPr>
          <w:rFonts w:cs="Verdana"/>
          <w:color w:val="000000"/>
          <w:szCs w:val="20"/>
        </w:rPr>
        <w:t>)</w:t>
      </w:r>
      <w:r w:rsidRPr="00991254">
        <w:t xml:space="preserve"> </w:t>
      </w:r>
      <w:hyperlink r:id="rId12" w:history="1">
        <w:r w:rsidRPr="00991254">
          <w:rPr>
            <w:rStyle w:val="Hyperlink"/>
            <w:rFonts w:cs="Times New Roman"/>
            <w:szCs w:val="20"/>
          </w:rPr>
          <w:t>datubāzēs</w:t>
        </w:r>
      </w:hyperlink>
      <w:bookmarkEnd w:id="8"/>
      <w:bookmarkEnd w:id="9"/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0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7"/>
      <w:r>
        <w:t>?</w:t>
      </w:r>
      <w:bookmarkEnd w:id="10"/>
    </w:p>
    <w:p w14:paraId="36BA6096" w14:textId="77777777" w:rsidR="002171F4" w:rsidRDefault="002171F4" w:rsidP="002171F4">
      <w:pPr>
        <w:pStyle w:val="NoSpacing"/>
        <w:rPr>
          <w:u w:val="single"/>
        </w:rPr>
      </w:pPr>
      <w:r>
        <w:t>Ekonomiskās sadarbības un attīstības organizācija (</w:t>
      </w:r>
      <w:hyperlink r:id="rId13" w:history="1">
        <w:r>
          <w:rPr>
            <w:rStyle w:val="Hyperlink"/>
            <w:bCs/>
            <w:szCs w:val="20"/>
          </w:rPr>
          <w:t>OECD</w:t>
        </w:r>
      </w:hyperlink>
      <w:r>
        <w:t>)</w:t>
      </w:r>
    </w:p>
    <w:p w14:paraId="3CB4F6A1" w14:textId="2718190F" w:rsidR="00381049" w:rsidRPr="00FB06BA" w:rsidRDefault="002171F4" w:rsidP="002171F4">
      <w:pPr>
        <w:pStyle w:val="NoSpacing"/>
        <w:rPr>
          <w:b/>
        </w:rPr>
      </w:pPr>
      <w:bookmarkStart w:id="11" w:name="_Hlk51162927"/>
      <w:r>
        <w:t>Apvienoto Nāciju Eiropas ekonomikas padome (</w:t>
      </w:r>
      <w:hyperlink r:id="rId14" w:history="1">
        <w:r>
          <w:rPr>
            <w:rStyle w:val="Hyperlink"/>
            <w:bCs/>
            <w:szCs w:val="20"/>
          </w:rPr>
          <w:t>UNECE</w:t>
        </w:r>
        <w:bookmarkEnd w:id="11"/>
      </w:hyperlink>
      <w:r>
        <w:t>)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lastRenderedPageBreak/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5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6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5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30318B9"/>
    <w:multiLevelType w:val="hybridMultilevel"/>
    <w:tmpl w:val="5A6C5D72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3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C9795B"/>
    <w:multiLevelType w:val="hybridMultilevel"/>
    <w:tmpl w:val="35E854C4"/>
    <w:lvl w:ilvl="0" w:tplc="6592018C">
      <w:numFmt w:val="bullet"/>
      <w:lvlText w:val=""/>
      <w:lvlJc w:val="left"/>
      <w:pPr>
        <w:ind w:left="163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A4202"/>
    <w:multiLevelType w:val="hybridMultilevel"/>
    <w:tmpl w:val="2B9C811A"/>
    <w:lvl w:ilvl="0" w:tplc="DA126040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0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9F90C3F"/>
    <w:multiLevelType w:val="hybridMultilevel"/>
    <w:tmpl w:val="1010B4C2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BA833A4"/>
    <w:multiLevelType w:val="hybridMultilevel"/>
    <w:tmpl w:val="9B4C2FD4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33549832">
    <w:abstractNumId w:val="16"/>
  </w:num>
  <w:num w:numId="2" w16cid:durableId="755054431">
    <w:abstractNumId w:val="29"/>
  </w:num>
  <w:num w:numId="3" w16cid:durableId="1932277341">
    <w:abstractNumId w:val="20"/>
  </w:num>
  <w:num w:numId="4" w16cid:durableId="550267214">
    <w:abstractNumId w:val="21"/>
  </w:num>
  <w:num w:numId="5" w16cid:durableId="2071270458">
    <w:abstractNumId w:val="30"/>
  </w:num>
  <w:num w:numId="6" w16cid:durableId="196622785">
    <w:abstractNumId w:val="27"/>
  </w:num>
  <w:num w:numId="7" w16cid:durableId="1767382316">
    <w:abstractNumId w:val="16"/>
  </w:num>
  <w:num w:numId="8" w16cid:durableId="1060514105">
    <w:abstractNumId w:val="16"/>
  </w:num>
  <w:num w:numId="9" w16cid:durableId="1981495145">
    <w:abstractNumId w:val="16"/>
  </w:num>
  <w:num w:numId="10" w16cid:durableId="456415116">
    <w:abstractNumId w:val="16"/>
  </w:num>
  <w:num w:numId="11" w16cid:durableId="323898391">
    <w:abstractNumId w:val="0"/>
  </w:num>
  <w:num w:numId="12" w16cid:durableId="1260064280">
    <w:abstractNumId w:val="20"/>
  </w:num>
  <w:num w:numId="13" w16cid:durableId="310866997">
    <w:abstractNumId w:val="10"/>
  </w:num>
  <w:num w:numId="14" w16cid:durableId="1012412707">
    <w:abstractNumId w:val="5"/>
  </w:num>
  <w:num w:numId="15" w16cid:durableId="953488199">
    <w:abstractNumId w:val="18"/>
  </w:num>
  <w:num w:numId="16" w16cid:durableId="573316200">
    <w:abstractNumId w:val="2"/>
  </w:num>
  <w:num w:numId="17" w16cid:durableId="102653605">
    <w:abstractNumId w:val="21"/>
  </w:num>
  <w:num w:numId="18" w16cid:durableId="1092122996">
    <w:abstractNumId w:val="21"/>
  </w:num>
  <w:num w:numId="19" w16cid:durableId="2089763589">
    <w:abstractNumId w:val="8"/>
  </w:num>
  <w:num w:numId="20" w16cid:durableId="214244422">
    <w:abstractNumId w:val="32"/>
  </w:num>
  <w:num w:numId="21" w16cid:durableId="1652517707">
    <w:abstractNumId w:val="9"/>
  </w:num>
  <w:num w:numId="22" w16cid:durableId="817772407">
    <w:abstractNumId w:val="22"/>
  </w:num>
  <w:num w:numId="23" w16cid:durableId="680359553">
    <w:abstractNumId w:val="3"/>
  </w:num>
  <w:num w:numId="24" w16cid:durableId="168763735">
    <w:abstractNumId w:val="7"/>
  </w:num>
  <w:num w:numId="25" w16cid:durableId="1675181511">
    <w:abstractNumId w:val="1"/>
  </w:num>
  <w:num w:numId="26" w16cid:durableId="1632440878">
    <w:abstractNumId w:val="25"/>
  </w:num>
  <w:num w:numId="27" w16cid:durableId="817961129">
    <w:abstractNumId w:val="17"/>
  </w:num>
  <w:num w:numId="28" w16cid:durableId="175006169">
    <w:abstractNumId w:val="6"/>
  </w:num>
  <w:num w:numId="29" w16cid:durableId="845244080">
    <w:abstractNumId w:val="15"/>
  </w:num>
  <w:num w:numId="30" w16cid:durableId="1897541753">
    <w:abstractNumId w:val="23"/>
  </w:num>
  <w:num w:numId="31" w16cid:durableId="550264595">
    <w:abstractNumId w:val="24"/>
  </w:num>
  <w:num w:numId="32" w16cid:durableId="1607538250">
    <w:abstractNumId w:val="13"/>
  </w:num>
  <w:num w:numId="33" w16cid:durableId="953709235">
    <w:abstractNumId w:val="26"/>
  </w:num>
  <w:num w:numId="34" w16cid:durableId="1013192954">
    <w:abstractNumId w:val="19"/>
  </w:num>
  <w:num w:numId="35" w16cid:durableId="1154446366">
    <w:abstractNumId w:val="11"/>
  </w:num>
  <w:num w:numId="36" w16cid:durableId="876158377">
    <w:abstractNumId w:val="12"/>
  </w:num>
  <w:num w:numId="37" w16cid:durableId="969087924">
    <w:abstractNumId w:val="28"/>
  </w:num>
  <w:num w:numId="38" w16cid:durableId="1347706982">
    <w:abstractNumId w:val="14"/>
  </w:num>
  <w:num w:numId="39" w16cid:durableId="584072579">
    <w:abstractNumId w:val="4"/>
  </w:num>
  <w:num w:numId="40" w16cid:durableId="698240942">
    <w:abstractNumId w:val="14"/>
  </w:num>
  <w:num w:numId="41" w16cid:durableId="264075038">
    <w:abstractNumId w:val="33"/>
  </w:num>
  <w:num w:numId="42" w16cid:durableId="698550102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3BF7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171F4"/>
    <w:rsid w:val="00221BBF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46ED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443A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611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803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54B3"/>
    <w:rsid w:val="0070684F"/>
    <w:rsid w:val="0070687C"/>
    <w:rsid w:val="00710044"/>
    <w:rsid w:val="0071022E"/>
    <w:rsid w:val="0071552F"/>
    <w:rsid w:val="00720CA7"/>
    <w:rsid w:val="00722176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E2D65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25140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B7F5A"/>
    <w:rsid w:val="00AC4DAF"/>
    <w:rsid w:val="00AC7271"/>
    <w:rsid w:val="00AE0942"/>
    <w:rsid w:val="00AE5D5A"/>
    <w:rsid w:val="00AF2923"/>
    <w:rsid w:val="00AF2F54"/>
    <w:rsid w:val="00B04A04"/>
    <w:rsid w:val="00B04FAC"/>
    <w:rsid w:val="00B05286"/>
    <w:rsid w:val="00B0713A"/>
    <w:rsid w:val="00B10472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1A82"/>
    <w:rsid w:val="00CD6491"/>
    <w:rsid w:val="00CF0D9F"/>
    <w:rsid w:val="00CF6881"/>
    <w:rsid w:val="00D01CA9"/>
    <w:rsid w:val="00D02EF9"/>
    <w:rsid w:val="00D0379C"/>
    <w:rsid w:val="00D048E5"/>
    <w:rsid w:val="00D122BE"/>
    <w:rsid w:val="00D20956"/>
    <w:rsid w:val="00D25CB9"/>
    <w:rsid w:val="00D4203C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3572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29FA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450FD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C6AAF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stats.oecd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ec.europa.eu/eurostat/data/databa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sp.gov.lv/lv/informacijas-drosiba-un-datu-aizsardzib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kravu-parvadajumi/tabulas/trk170-caurulvadu-transporta-darbiba-tukst-tonn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legal-content/LV/TXT/?uri=celex%3A32016R0679" TargetMode="External"/><Relationship Id="rId10" Type="http://schemas.openxmlformats.org/officeDocument/2006/relationships/hyperlink" Target="https://stat.gov.lv/lv/statistikas-temas/noz/kravu-parvadajumi/tabulas/trk170c-caurulvadu-transporta-darbiba-tukst-tonn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87576-oficialas-statistikas-veidlapu-paraugu-apstiprinasanas-un-veidlapu-aizpildisanas-un-iesniegsanas-noteikumi" TargetMode="External"/><Relationship Id="rId14" Type="http://schemas.openxmlformats.org/officeDocument/2006/relationships/hyperlink" Target="https://w3.unece.org/PXWeb2015/pxweb/en/STAT/STAT__40-TRTRANS__10-TRPipeli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3506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21</cp:revision>
  <cp:lastPrinted>2021-06-21T11:26:00Z</cp:lastPrinted>
  <dcterms:created xsi:type="dcterms:W3CDTF">2021-05-21T07:59:00Z</dcterms:created>
  <dcterms:modified xsi:type="dcterms:W3CDTF">2024-11-29T12:25:00Z</dcterms:modified>
</cp:coreProperties>
</file>