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37F8807A" w:rsidR="0051672D" w:rsidRPr="00883277" w:rsidRDefault="00FE4684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ienākošajiem un izejošajiem kuģiem ostās” (2-ostas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A3B1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A3B1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A3B1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A3B1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A3B1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F9BC413" w14:textId="2075D076" w:rsidR="00C2402B" w:rsidRPr="00C2402B" w:rsidRDefault="00CA3B1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A3B19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3F10E921" w:rsidR="009404C8" w:rsidRDefault="009404C8" w:rsidP="00214288">
      <w:r w:rsidRPr="009404C8">
        <w:t>Pārvalde lūdz iesniegt datus, lai nodrošinātu lietotāju vajadzības, kas definēt</w:t>
      </w:r>
      <w:r w:rsidRPr="00FE4684">
        <w:t xml:space="preserve">as </w:t>
      </w:r>
      <w:hyperlink r:id="rId7" w:history="1">
        <w:r w:rsidR="002B6E0C" w:rsidRPr="002B6E0C">
          <w:rPr>
            <w:rStyle w:val="Hyperlink"/>
          </w:rPr>
          <w:t>Oficiālās statistikas programmas</w:t>
        </w:r>
      </w:hyperlink>
      <w:r w:rsidR="002B6E0C">
        <w:t xml:space="preserve"> </w:t>
      </w:r>
      <w:r w:rsidRPr="00FE4684">
        <w:t xml:space="preserve">pielikuma </w:t>
      </w:r>
      <w:r w:rsidR="00FE4684" w:rsidRPr="00FE4684">
        <w:rPr>
          <w:szCs w:val="20"/>
        </w:rPr>
        <w:t>24. punktā (Transporta statistika)</w:t>
      </w:r>
      <w:r w:rsidRPr="00FE4684">
        <w:t>.</w:t>
      </w:r>
    </w:p>
    <w:p w14:paraId="72A32E49" w14:textId="18A921A8" w:rsidR="00381049" w:rsidRDefault="00602460" w:rsidP="00214288">
      <w:pPr>
        <w:rPr>
          <w:bCs/>
          <w:color w:val="000000"/>
        </w:rPr>
      </w:pPr>
      <w:r>
        <w:t>Ikviena</w:t>
      </w:r>
      <w:r w:rsidR="00FE4684">
        <w:t xml:space="preserve"> uzņēmuma </w:t>
      </w:r>
      <w:r w:rsidR="00DB27B1">
        <w:t xml:space="preserve">sniegtie </w:t>
      </w:r>
      <w:r w:rsidR="00FE4684">
        <w:t>dati tiek izmantoti, lai iegūtu statistisko informāciju par katru ienākošo un izejošo kuģi ostā un to raksturojošajiem rādītājiem un kravu apgrozījumu ostās.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217FDA49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AF5C3C">
        <w:t>o</w:t>
      </w:r>
      <w:r w:rsidRPr="00C13E38">
        <w:t xml:space="preserve"> </w:t>
      </w:r>
      <w:r w:rsidR="00322F85" w:rsidRPr="00C13E38">
        <w:t>tiesību aktu:</w:t>
      </w:r>
    </w:p>
    <w:p w14:paraId="7A525018" w14:textId="4A1AD1E1" w:rsidR="00420AD1" w:rsidRPr="003B371D" w:rsidRDefault="00CA3B19" w:rsidP="008A2572">
      <w:pPr>
        <w:pStyle w:val="NoSpacing"/>
        <w:numPr>
          <w:ilvl w:val="2"/>
          <w:numId w:val="26"/>
        </w:numPr>
      </w:pPr>
      <w:hyperlink r:id="rId8" w:history="1">
        <w:r w:rsidR="00FE4684" w:rsidRPr="00FE4684">
          <w:rPr>
            <w:rStyle w:val="Hyperlink"/>
          </w:rPr>
          <w:t>Eiropas Parlamenta un Padomes 2009. gada 6. maija Direktīv</w:t>
        </w:r>
        <w:r w:rsidR="00EB7CB8">
          <w:rPr>
            <w:rStyle w:val="Hyperlink"/>
          </w:rPr>
          <w:t>u</w:t>
        </w:r>
        <w:r w:rsidR="00FE4684" w:rsidRPr="00FE4684">
          <w:rPr>
            <w:rStyle w:val="Hyperlink"/>
          </w:rPr>
          <w:t xml:space="preserve"> Nr. 2009/42/EK</w:t>
        </w:r>
      </w:hyperlink>
      <w:r w:rsidR="00FE4684">
        <w:t xml:space="preserve"> par statistikas pārskatiem attiecībā uz kravu un pasažieru pārvadājumiem pa jūru (pārstrādāta versija) (Dokuments attiecas uz EEZ).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22F784ED" w:rsidR="00381049" w:rsidRDefault="00FE4684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71539DD3" w14:textId="31CB9FF8" w:rsidR="00D20956" w:rsidRPr="00F33D0A" w:rsidRDefault="00FE4684" w:rsidP="00CF0D9F">
      <w:proofErr w:type="spellStart"/>
      <w:r>
        <w:t>Apsekojumā</w:t>
      </w:r>
      <w:proofErr w:type="spellEnd"/>
      <w:r>
        <w:t xml:space="preserve"> iekļauj ostas ar kravu apgrozījumu 1 milj. un vairāk tonnu un/vai</w:t>
      </w:r>
      <w:r>
        <w:rPr>
          <w:szCs w:val="20"/>
        </w:rPr>
        <w:t xml:space="preserve"> pasažieru apgrozījumu 200 000 un vairāk pasažieru gadā.</w:t>
      </w:r>
    </w:p>
    <w:p w14:paraId="27F61242" w14:textId="77777777" w:rsidR="002A12D9" w:rsidRDefault="00F33D0A" w:rsidP="004905C6">
      <w:r w:rsidRPr="009E389F">
        <w:t xml:space="preserve">Izlases izveidošanas </w:t>
      </w:r>
      <w:r>
        <w:t>standarts</w:t>
      </w:r>
      <w:r w:rsidRPr="009E389F">
        <w:t>:</w:t>
      </w:r>
    </w:p>
    <w:p w14:paraId="6C3FEF65" w14:textId="01F27285" w:rsidR="004905C6" w:rsidRDefault="00CA3B19" w:rsidP="002A12D9">
      <w:pPr>
        <w:pStyle w:val="NoSpacing"/>
      </w:pPr>
      <w:hyperlink r:id="rId10" w:history="1">
        <w:r w:rsidR="004905C6" w:rsidRPr="00FE4684">
          <w:rPr>
            <w:rStyle w:val="Hyperlink"/>
          </w:rPr>
          <w:t>Eiropas Parlamenta un Padomes 2009. gada 6. maija Direktīva</w:t>
        </w:r>
        <w:r w:rsidR="00EB7CB8">
          <w:rPr>
            <w:rStyle w:val="Hyperlink"/>
          </w:rPr>
          <w:t>s</w:t>
        </w:r>
        <w:r w:rsidR="004905C6" w:rsidRPr="00FE4684">
          <w:rPr>
            <w:rStyle w:val="Hyperlink"/>
          </w:rPr>
          <w:t xml:space="preserve"> Nr. 2009/42/EK</w:t>
        </w:r>
      </w:hyperlink>
      <w:r w:rsidR="004905C6">
        <w:t xml:space="preserve"> par statistikas pārskatiem attiecībā uz kravu un pasažieru pārvadājumiem pa jūru (pārstrādāta versija) (Dokuments attiecas uz EEZ)</w:t>
      </w:r>
      <w:r w:rsidR="00DB7724" w:rsidRPr="00DB7724">
        <w:t xml:space="preserve"> 3. un 4.</w:t>
      </w:r>
      <w:r w:rsidR="00564964">
        <w:t> </w:t>
      </w:r>
      <w:r w:rsidR="00DB7724" w:rsidRPr="00DB7724">
        <w:t>pants</w:t>
      </w:r>
      <w:r w:rsidR="002A12D9">
        <w:t>;</w:t>
      </w:r>
    </w:p>
    <w:p w14:paraId="05119F50" w14:textId="49B44CBB" w:rsidR="002A12D9" w:rsidRDefault="00CA3B19" w:rsidP="002A12D9">
      <w:pPr>
        <w:pStyle w:val="NoSpacing"/>
      </w:pPr>
      <w:hyperlink r:id="rId11" w:history="1">
        <w:r w:rsidR="009F52D1" w:rsidRPr="00A611D9">
          <w:rPr>
            <w:rStyle w:val="Hyperlink"/>
          </w:rPr>
          <w:t>Ministru kabineta 2016. gada 20. decembra noteikumi</w:t>
        </w:r>
        <w:r w:rsidR="009F52D1">
          <w:rPr>
            <w:rStyle w:val="Hyperlink"/>
          </w:rPr>
          <w:t xml:space="preserve"> </w:t>
        </w:r>
        <w:r w:rsidR="009F52D1" w:rsidRPr="00A611D9">
          <w:rPr>
            <w:rStyle w:val="Hyperlink"/>
          </w:rPr>
          <w:t>Nr. 812</w:t>
        </w:r>
      </w:hyperlink>
      <w:r w:rsidR="009F52D1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905C6">
      <w:pPr>
        <w:pStyle w:val="Heading1"/>
        <w:numPr>
          <w:ilvl w:val="0"/>
          <w:numId w:val="21"/>
        </w:numPr>
      </w:pPr>
      <w:bookmarkStart w:id="6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6"/>
    </w:p>
    <w:p w14:paraId="4670FA62" w14:textId="21B9E6E0" w:rsidR="00FE4684" w:rsidRPr="00FE4684" w:rsidRDefault="00FE4684" w:rsidP="00907821">
      <w:pPr>
        <w:pStyle w:val="NoSpacing"/>
        <w:rPr>
          <w:rFonts w:cs="Times New Roman"/>
          <w:b/>
        </w:rPr>
      </w:pPr>
      <w:bookmarkStart w:id="7" w:name="_Toc40698654"/>
      <w:r>
        <w:t>Oficiālās statistikas portālā - dati par kravu apgrozījumu ostās pa valstīm:</w:t>
      </w:r>
    </w:p>
    <w:p w14:paraId="774257C4" w14:textId="76565003" w:rsidR="00FE4684" w:rsidRPr="004905C6" w:rsidRDefault="00CA3B19" w:rsidP="00FE4684">
      <w:pPr>
        <w:pStyle w:val="NoSpacing"/>
        <w:numPr>
          <w:ilvl w:val="1"/>
          <w:numId w:val="41"/>
        </w:numPr>
        <w:rPr>
          <w:rStyle w:val="Hyperlink"/>
          <w:rFonts w:cs="Times New Roman"/>
          <w:color w:val="auto"/>
          <w:szCs w:val="20"/>
        </w:rPr>
      </w:pPr>
      <w:hyperlink r:id="rId12" w:history="1">
        <w:r w:rsidR="004E2180">
          <w:rPr>
            <w:rStyle w:val="Hyperlink"/>
            <w:rFonts w:cs="Times New Roman"/>
            <w:szCs w:val="20"/>
          </w:rPr>
          <w:t>Ar jūras transportu nosūtītas un saņemtas kravas pa valstīm (procentos no kravu apgrozījuma)</w:t>
        </w:r>
      </w:hyperlink>
    </w:p>
    <w:p w14:paraId="3DC3E4F1" w14:textId="77777777" w:rsidR="00DC26E5" w:rsidRPr="00F914B8" w:rsidRDefault="00DC26E5" w:rsidP="00DC26E5">
      <w:pPr>
        <w:pStyle w:val="NoSpacing"/>
        <w:rPr>
          <w:rStyle w:val="Hyperlink"/>
          <w:rFonts w:cs="Times New Roman"/>
          <w:color w:val="auto"/>
          <w:szCs w:val="20"/>
        </w:rPr>
      </w:pPr>
      <w:bookmarkStart w:id="8" w:name="_Hlk51059132"/>
      <w:bookmarkStart w:id="9" w:name="_Hlk51059025"/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 w:rsidRPr="00991254">
        <w:rPr>
          <w:rFonts w:cs="Verdana"/>
          <w:color w:val="000000"/>
          <w:szCs w:val="20"/>
        </w:rPr>
        <w:t>)</w:t>
      </w:r>
      <w:r w:rsidRPr="00991254">
        <w:t xml:space="preserve"> </w:t>
      </w:r>
      <w:hyperlink r:id="rId13" w:history="1">
        <w:r w:rsidRPr="00991254">
          <w:rPr>
            <w:rStyle w:val="Hyperlink"/>
            <w:rFonts w:cs="Times New Roman"/>
            <w:szCs w:val="20"/>
          </w:rPr>
          <w:t>datubāzēs</w:t>
        </w:r>
      </w:hyperlink>
    </w:p>
    <w:p w14:paraId="78598D9A" w14:textId="61AA21A1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0" w:name="_Toc70071554"/>
      <w:bookmarkEnd w:id="8"/>
      <w:bookmarkEnd w:id="9"/>
      <w:bookmarkEnd w:id="7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1" w:name="_Toc70071555"/>
      <w:r>
        <w:lastRenderedPageBreak/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4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5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16" type="#_x0000_t75" style="width:1in;height:1in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D7C095E"/>
    <w:multiLevelType w:val="hybridMultilevel"/>
    <w:tmpl w:val="39DAC9F0"/>
    <w:lvl w:ilvl="0" w:tplc="BBE837C0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FF5B8F"/>
    <w:multiLevelType w:val="hybridMultilevel"/>
    <w:tmpl w:val="27404BCC"/>
    <w:lvl w:ilvl="0" w:tplc="BB76506C">
      <w:numFmt w:val="bullet"/>
      <w:lvlText w:val=""/>
      <w:lvlJc w:val="left"/>
      <w:pPr>
        <w:ind w:left="2345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01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73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17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89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33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7A7FF5"/>
    <w:multiLevelType w:val="hybridMultilevel"/>
    <w:tmpl w:val="16483CF2"/>
    <w:lvl w:ilvl="0" w:tplc="BB76506C">
      <w:numFmt w:val="bullet"/>
      <w:lvlText w:val=""/>
      <w:lvlJc w:val="left"/>
      <w:pPr>
        <w:ind w:left="1800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65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185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25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345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78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B2C095A"/>
    <w:multiLevelType w:val="hybridMultilevel"/>
    <w:tmpl w:val="8C0C4C5A"/>
    <w:lvl w:ilvl="0" w:tplc="BB76506C">
      <w:numFmt w:val="bullet"/>
      <w:lvlText w:val=""/>
      <w:lvlJc w:val="left"/>
      <w:pPr>
        <w:ind w:left="1800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65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185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25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345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78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88663E9"/>
    <w:multiLevelType w:val="hybridMultilevel"/>
    <w:tmpl w:val="55B8FE7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A597B"/>
    <w:multiLevelType w:val="hybridMultilevel"/>
    <w:tmpl w:val="2CBECF00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3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70959577">
    <w:abstractNumId w:val="16"/>
  </w:num>
  <w:num w:numId="2" w16cid:durableId="1894654651">
    <w:abstractNumId w:val="32"/>
  </w:num>
  <w:num w:numId="3" w16cid:durableId="1910849490">
    <w:abstractNumId w:val="21"/>
  </w:num>
  <w:num w:numId="4" w16cid:durableId="430468931">
    <w:abstractNumId w:val="23"/>
  </w:num>
  <w:num w:numId="5" w16cid:durableId="1539079498">
    <w:abstractNumId w:val="33"/>
  </w:num>
  <w:num w:numId="6" w16cid:durableId="1593276440">
    <w:abstractNumId w:val="31"/>
  </w:num>
  <w:num w:numId="7" w16cid:durableId="1640376079">
    <w:abstractNumId w:val="16"/>
  </w:num>
  <w:num w:numId="8" w16cid:durableId="1553275929">
    <w:abstractNumId w:val="16"/>
  </w:num>
  <w:num w:numId="9" w16cid:durableId="1440373358">
    <w:abstractNumId w:val="16"/>
  </w:num>
  <w:num w:numId="10" w16cid:durableId="818575518">
    <w:abstractNumId w:val="16"/>
  </w:num>
  <w:num w:numId="11" w16cid:durableId="2063867793">
    <w:abstractNumId w:val="0"/>
  </w:num>
  <w:num w:numId="12" w16cid:durableId="241836401">
    <w:abstractNumId w:val="21"/>
  </w:num>
  <w:num w:numId="13" w16cid:durableId="1400713619">
    <w:abstractNumId w:val="10"/>
  </w:num>
  <w:num w:numId="14" w16cid:durableId="664632974">
    <w:abstractNumId w:val="5"/>
  </w:num>
  <w:num w:numId="15" w16cid:durableId="1412771734">
    <w:abstractNumId w:val="18"/>
  </w:num>
  <w:num w:numId="16" w16cid:durableId="1667056438">
    <w:abstractNumId w:val="2"/>
  </w:num>
  <w:num w:numId="17" w16cid:durableId="973482015">
    <w:abstractNumId w:val="23"/>
  </w:num>
  <w:num w:numId="18" w16cid:durableId="1641955507">
    <w:abstractNumId w:val="23"/>
  </w:num>
  <w:num w:numId="19" w16cid:durableId="666325060">
    <w:abstractNumId w:val="8"/>
  </w:num>
  <w:num w:numId="20" w16cid:durableId="1438795147">
    <w:abstractNumId w:val="34"/>
  </w:num>
  <w:num w:numId="21" w16cid:durableId="970013772">
    <w:abstractNumId w:val="9"/>
  </w:num>
  <w:num w:numId="22" w16cid:durableId="992563197">
    <w:abstractNumId w:val="24"/>
  </w:num>
  <w:num w:numId="23" w16cid:durableId="248076161">
    <w:abstractNumId w:val="3"/>
  </w:num>
  <w:num w:numId="24" w16cid:durableId="689793201">
    <w:abstractNumId w:val="7"/>
  </w:num>
  <w:num w:numId="25" w16cid:durableId="1374578846">
    <w:abstractNumId w:val="1"/>
  </w:num>
  <w:num w:numId="26" w16cid:durableId="1260604022">
    <w:abstractNumId w:val="29"/>
  </w:num>
  <w:num w:numId="27" w16cid:durableId="1029448631">
    <w:abstractNumId w:val="17"/>
  </w:num>
  <w:num w:numId="28" w16cid:durableId="1625427139">
    <w:abstractNumId w:val="6"/>
  </w:num>
  <w:num w:numId="29" w16cid:durableId="1545293456">
    <w:abstractNumId w:val="15"/>
  </w:num>
  <w:num w:numId="30" w16cid:durableId="1862205862">
    <w:abstractNumId w:val="25"/>
  </w:num>
  <w:num w:numId="31" w16cid:durableId="1110275342">
    <w:abstractNumId w:val="27"/>
  </w:num>
  <w:num w:numId="32" w16cid:durableId="140970969">
    <w:abstractNumId w:val="13"/>
  </w:num>
  <w:num w:numId="33" w16cid:durableId="1348097997">
    <w:abstractNumId w:val="30"/>
  </w:num>
  <w:num w:numId="34" w16cid:durableId="1088622242">
    <w:abstractNumId w:val="19"/>
  </w:num>
  <w:num w:numId="35" w16cid:durableId="582028871">
    <w:abstractNumId w:val="11"/>
  </w:num>
  <w:num w:numId="36" w16cid:durableId="786315557">
    <w:abstractNumId w:val="12"/>
  </w:num>
  <w:num w:numId="37" w16cid:durableId="1099715740">
    <w:abstractNumId w:val="4"/>
  </w:num>
  <w:num w:numId="38" w16cid:durableId="1143932778">
    <w:abstractNumId w:val="20"/>
  </w:num>
  <w:num w:numId="39" w16cid:durableId="1407262757">
    <w:abstractNumId w:val="22"/>
  </w:num>
  <w:num w:numId="40" w16cid:durableId="593634675">
    <w:abstractNumId w:val="14"/>
  </w:num>
  <w:num w:numId="41" w16cid:durableId="612132076">
    <w:abstractNumId w:val="28"/>
  </w:num>
  <w:num w:numId="42" w16cid:durableId="82879007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154B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568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91D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12D9"/>
    <w:rsid w:val="002A3100"/>
    <w:rsid w:val="002B6B78"/>
    <w:rsid w:val="002B6E0C"/>
    <w:rsid w:val="002C0D91"/>
    <w:rsid w:val="002C73C5"/>
    <w:rsid w:val="002D03F7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32C2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905C6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2180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508BF"/>
    <w:rsid w:val="00564964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02460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66E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1B25"/>
    <w:rsid w:val="009D3C21"/>
    <w:rsid w:val="009D7063"/>
    <w:rsid w:val="009E389F"/>
    <w:rsid w:val="009E775F"/>
    <w:rsid w:val="009F52D1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1CF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AF5C3C"/>
    <w:rsid w:val="00B04A04"/>
    <w:rsid w:val="00B04FAC"/>
    <w:rsid w:val="00B0713A"/>
    <w:rsid w:val="00B13EEC"/>
    <w:rsid w:val="00B15CAE"/>
    <w:rsid w:val="00B26993"/>
    <w:rsid w:val="00B274F0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D700E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3B19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B27B1"/>
    <w:rsid w:val="00DB7724"/>
    <w:rsid w:val="00DC26E5"/>
    <w:rsid w:val="00DC7EFA"/>
    <w:rsid w:val="00DD1659"/>
    <w:rsid w:val="00DD419F"/>
    <w:rsid w:val="00DE3214"/>
    <w:rsid w:val="00DE5E73"/>
    <w:rsid w:val="00DE723F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080C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B7CB8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684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09L0042&amp;qid=1621586068184" TargetMode="External"/><Relationship Id="rId13" Type="http://schemas.openxmlformats.org/officeDocument/2006/relationships/hyperlink" Target="https://ec.europa.eu/eurostat/data/databa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kravu-parvadajumi/tabulas/trk090-ar-juras-transportu-nosutitas-un-sanemtas?themeCode=TR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p.gov.lv/lv/informacijas-drosiba-un-datu-aizsardziba" TargetMode="External"/><Relationship Id="rId10" Type="http://schemas.openxmlformats.org/officeDocument/2006/relationships/hyperlink" Target="https://eur-lex.europa.eu/legal-content/LV/TXT/?uri=CELEX%3A32009L0042&amp;qid=1621586068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eur-lex.europa.eu/legal-content/LV/TXT/?uri=celex%3A32016R06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3477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12</cp:revision>
  <cp:lastPrinted>2022-03-07T15:04:00Z</cp:lastPrinted>
  <dcterms:created xsi:type="dcterms:W3CDTF">2021-07-08T10:13:00Z</dcterms:created>
  <dcterms:modified xsi:type="dcterms:W3CDTF">2024-11-29T12:27:00Z</dcterms:modified>
</cp:coreProperties>
</file>